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22" w:rsidRPr="000B2C31" w:rsidRDefault="001F4B22" w:rsidP="00E77CB3">
      <w:pPr>
        <w:jc w:val="center"/>
        <w:rPr>
          <w:lang w:val="fr-FR"/>
        </w:rPr>
      </w:pPr>
      <w:bookmarkStart w:id="0" w:name="_GoBack"/>
      <w:bookmarkEnd w:id="0"/>
    </w:p>
    <w:p w:rsidR="001F4B22" w:rsidRPr="000B2C31" w:rsidRDefault="001F4B22" w:rsidP="00E77CB3">
      <w:pPr>
        <w:jc w:val="center"/>
        <w:rPr>
          <w:lang w:val="fr-FR"/>
        </w:rPr>
      </w:pPr>
    </w:p>
    <w:p w:rsidR="001F4B22" w:rsidRPr="00AD412E" w:rsidRDefault="001F4B22" w:rsidP="00E77CB3">
      <w:pPr>
        <w:jc w:val="center"/>
        <w:rPr>
          <w:lang w:val="fr-FR"/>
        </w:rPr>
      </w:pPr>
    </w:p>
    <w:p w:rsidR="001F4B22" w:rsidRPr="00AD412E" w:rsidRDefault="001F4B22" w:rsidP="00E77CB3">
      <w:pPr>
        <w:jc w:val="center"/>
        <w:rPr>
          <w:lang w:val="fr-FR"/>
        </w:rPr>
      </w:pPr>
      <w:r>
        <w:rPr>
          <w:lang w:val="fr-FR"/>
        </w:rPr>
        <w:t>QUATRIÈME SECTION</w:t>
      </w:r>
    </w:p>
    <w:p w:rsidR="001F4B22" w:rsidRDefault="001F4B22" w:rsidP="00E77CB3">
      <w:pPr>
        <w:jc w:val="center"/>
        <w:rPr>
          <w:lang w:val="fr-FR"/>
        </w:rPr>
      </w:pPr>
    </w:p>
    <w:p w:rsidR="001F4B22" w:rsidRDefault="001F4B22" w:rsidP="00E77CB3">
      <w:pPr>
        <w:jc w:val="center"/>
        <w:rPr>
          <w:lang w:val="fr-FR"/>
        </w:rPr>
      </w:pPr>
    </w:p>
    <w:p w:rsidR="001F4B22" w:rsidRDefault="001F4B22" w:rsidP="00E77CB3">
      <w:pPr>
        <w:jc w:val="center"/>
        <w:rPr>
          <w:lang w:val="fr-FR"/>
        </w:rPr>
      </w:pPr>
    </w:p>
    <w:p w:rsidR="001F4B22" w:rsidRDefault="001F4B22" w:rsidP="00E77CB3">
      <w:pPr>
        <w:jc w:val="center"/>
        <w:rPr>
          <w:lang w:val="fr-FR"/>
        </w:rPr>
      </w:pPr>
    </w:p>
    <w:p w:rsidR="001F4B22" w:rsidRDefault="001F4B22" w:rsidP="00E77CB3">
      <w:pPr>
        <w:jc w:val="center"/>
        <w:rPr>
          <w:lang w:val="fr-FR"/>
        </w:rPr>
      </w:pPr>
    </w:p>
    <w:p w:rsidR="001F4B22" w:rsidRPr="00AD412E" w:rsidRDefault="001F4B22" w:rsidP="00E77CB3">
      <w:pPr>
        <w:jc w:val="center"/>
        <w:rPr>
          <w:lang w:val="fr-FR"/>
        </w:rPr>
      </w:pPr>
    </w:p>
    <w:p w:rsidR="001F4B22" w:rsidRPr="00D42AFF" w:rsidRDefault="001F4B22" w:rsidP="00E77CB3">
      <w:pPr>
        <w:jc w:val="center"/>
        <w:rPr>
          <w:b/>
          <w:lang w:val="fr-FR"/>
        </w:rPr>
      </w:pPr>
      <w:bookmarkStart w:id="1" w:name="To"/>
      <w:r w:rsidRPr="00D42AFF">
        <w:rPr>
          <w:b/>
          <w:lang w:val="fr-FR"/>
        </w:rPr>
        <w:t xml:space="preserve">AFFAIRE </w:t>
      </w:r>
      <w:bookmarkEnd w:id="1"/>
      <w:r w:rsidRPr="00790333">
        <w:rPr>
          <w:b/>
          <w:lang w:val="fr-FR"/>
        </w:rPr>
        <w:t>SCHIPANI ET AUTRES c. ITALIE</w:t>
      </w:r>
    </w:p>
    <w:p w:rsidR="001F4B22" w:rsidRPr="00AD412E" w:rsidRDefault="001F4B22" w:rsidP="00E77CB3">
      <w:pPr>
        <w:jc w:val="center"/>
        <w:rPr>
          <w:lang w:val="fr-FR"/>
        </w:rPr>
      </w:pPr>
    </w:p>
    <w:p w:rsidR="001F4B22" w:rsidRDefault="001F4B22" w:rsidP="00E77CB3">
      <w:pPr>
        <w:jc w:val="center"/>
        <w:rPr>
          <w:i/>
          <w:lang w:val="fr-FR"/>
        </w:rPr>
      </w:pPr>
      <w:r w:rsidRPr="00AD412E">
        <w:rPr>
          <w:i/>
          <w:lang w:val="fr-FR"/>
        </w:rPr>
        <w:t>(Requête n</w:t>
      </w:r>
      <w:r w:rsidRPr="00AD412E">
        <w:rPr>
          <w:i/>
          <w:vertAlign w:val="superscript"/>
          <w:lang w:val="fr-FR"/>
        </w:rPr>
        <w:t>o</w:t>
      </w:r>
      <w:r w:rsidRPr="00AD412E">
        <w:rPr>
          <w:i/>
          <w:lang w:val="fr-FR"/>
        </w:rPr>
        <w:t xml:space="preserve"> </w:t>
      </w:r>
      <w:r>
        <w:rPr>
          <w:i/>
          <w:lang w:val="fr-FR"/>
        </w:rPr>
        <w:t>38369/09</w:t>
      </w:r>
      <w:r w:rsidRPr="00AD412E">
        <w:rPr>
          <w:i/>
          <w:lang w:val="fr-FR"/>
        </w:rPr>
        <w:t>)</w:t>
      </w: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Default="001F4B22" w:rsidP="00E77CB3">
      <w:pPr>
        <w:jc w:val="center"/>
        <w:rPr>
          <w:szCs w:val="24"/>
          <w:u w:val="single"/>
          <w:lang w:val="fr-FR"/>
        </w:rPr>
      </w:pPr>
    </w:p>
    <w:p w:rsidR="001F4B22" w:rsidRPr="000B2C31" w:rsidRDefault="001F4B22" w:rsidP="000B2C31">
      <w:pPr>
        <w:jc w:val="center"/>
        <w:rPr>
          <w:szCs w:val="24"/>
          <w:lang w:val="fr-FR"/>
        </w:rPr>
      </w:pPr>
      <w:r>
        <w:rPr>
          <w:szCs w:val="24"/>
          <w:lang w:val="fr-FR"/>
        </w:rPr>
        <w:t>ARRÊT</w:t>
      </w:r>
    </w:p>
    <w:p w:rsidR="001F4B22" w:rsidRDefault="001F4B22" w:rsidP="000B2C31">
      <w:pPr>
        <w:jc w:val="center"/>
        <w:rPr>
          <w:lang w:val="fr-FR"/>
        </w:rPr>
      </w:pPr>
    </w:p>
    <w:p w:rsidR="001F4B22" w:rsidRDefault="001F4B22" w:rsidP="000B2C31">
      <w:pPr>
        <w:jc w:val="center"/>
        <w:rPr>
          <w:lang w:val="fr-FR"/>
        </w:rPr>
      </w:pPr>
    </w:p>
    <w:p w:rsidR="001F4B22" w:rsidRDefault="001F4B22" w:rsidP="000B2C31">
      <w:pPr>
        <w:jc w:val="center"/>
        <w:rPr>
          <w:lang w:val="fr-FR"/>
        </w:rPr>
      </w:pPr>
    </w:p>
    <w:p w:rsidR="001F4B22" w:rsidRDefault="001F4B22" w:rsidP="000B2C31">
      <w:pPr>
        <w:jc w:val="center"/>
        <w:rPr>
          <w:lang w:val="fr-FR"/>
        </w:rPr>
      </w:pPr>
    </w:p>
    <w:p w:rsidR="001F4B22" w:rsidRDefault="001F4B22" w:rsidP="000B2C31">
      <w:pPr>
        <w:jc w:val="center"/>
        <w:rPr>
          <w:lang w:val="fr-FR"/>
        </w:rPr>
      </w:pPr>
    </w:p>
    <w:p w:rsidR="001F4B22" w:rsidRDefault="001F4B22" w:rsidP="000B2C31">
      <w:pPr>
        <w:jc w:val="center"/>
        <w:rPr>
          <w:lang w:val="fr-FR"/>
        </w:rPr>
      </w:pPr>
      <w:r>
        <w:rPr>
          <w:lang w:val="fr-FR"/>
        </w:rPr>
        <w:t>STRASBOURG</w:t>
      </w:r>
    </w:p>
    <w:p w:rsidR="001F4B22" w:rsidRDefault="001F4B22" w:rsidP="000B2C31">
      <w:pPr>
        <w:jc w:val="center"/>
        <w:rPr>
          <w:lang w:val="fr-FR"/>
        </w:rPr>
      </w:pPr>
    </w:p>
    <w:p w:rsidR="001F4B22" w:rsidRDefault="001F4B22" w:rsidP="000B2C31">
      <w:pPr>
        <w:jc w:val="center"/>
        <w:rPr>
          <w:lang w:val="fr-FR"/>
        </w:rPr>
      </w:pPr>
      <w:r>
        <w:rPr>
          <w:lang w:val="fr-FR"/>
        </w:rPr>
        <w:t>21 juillet 2015</w:t>
      </w:r>
    </w:p>
    <w:p w:rsidR="001F4B22" w:rsidRDefault="001F4B22" w:rsidP="000B2C31">
      <w:pPr>
        <w:jc w:val="center"/>
        <w:rPr>
          <w:lang w:val="fr-FR"/>
        </w:rPr>
      </w:pPr>
    </w:p>
    <w:p w:rsidR="001F4B22" w:rsidRDefault="001F4B22" w:rsidP="000B2C31">
      <w:pPr>
        <w:jc w:val="center"/>
        <w:rPr>
          <w:lang w:val="fr-FR"/>
        </w:rPr>
      </w:pPr>
    </w:p>
    <w:p w:rsidR="001F4B22" w:rsidRPr="002F6C08" w:rsidRDefault="001F4B22" w:rsidP="002F6C08">
      <w:pPr>
        <w:pStyle w:val="ECHRPara"/>
        <w:rPr>
          <w:i/>
          <w:lang w:val="fr-FR"/>
        </w:rPr>
      </w:pPr>
      <w:r w:rsidRPr="002F6C08">
        <w:rPr>
          <w:i/>
          <w:lang w:val="fr-FR"/>
        </w:rPr>
        <w:t>Cet arrêt deviendra définitif dans les conditions définies à l</w:t>
      </w:r>
      <w:r>
        <w:rPr>
          <w:i/>
          <w:lang w:val="fr-FR"/>
        </w:rPr>
        <w:t>’</w:t>
      </w:r>
      <w:r w:rsidRPr="002F6C08">
        <w:rPr>
          <w:i/>
          <w:lang w:val="fr-FR"/>
        </w:rPr>
        <w:t>article 44 § 2 de la Convention. Il peut subir des retouches de forme.</w:t>
      </w:r>
    </w:p>
    <w:p w:rsidR="001F4B22" w:rsidRPr="000B2C31" w:rsidRDefault="001F4B22" w:rsidP="000B2C31">
      <w:pPr>
        <w:pStyle w:val="ECHRPara"/>
        <w:ind w:firstLine="0"/>
        <w:jc w:val="left"/>
        <w:rPr>
          <w:lang w:val="fr-FR"/>
        </w:rPr>
        <w:sectPr w:rsidR="001F4B22" w:rsidRPr="000B2C31" w:rsidSect="000B2C31">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1F4B22" w:rsidRPr="00AD412E" w:rsidRDefault="001F4B22" w:rsidP="00E77CB3">
      <w:pPr>
        <w:pStyle w:val="JuCase"/>
        <w:rPr>
          <w:lang w:val="fr-FR"/>
        </w:rPr>
      </w:pPr>
      <w:r w:rsidRPr="00AD412E">
        <w:rPr>
          <w:lang w:val="fr-FR"/>
        </w:rPr>
        <w:t>En l</w:t>
      </w:r>
      <w:r>
        <w:rPr>
          <w:lang w:val="fr-FR"/>
        </w:rPr>
        <w:t>’</w:t>
      </w:r>
      <w:r w:rsidRPr="00AD412E">
        <w:rPr>
          <w:lang w:val="fr-FR"/>
        </w:rPr>
        <w:t xml:space="preserve">affaire </w:t>
      </w:r>
      <w:r>
        <w:rPr>
          <w:lang w:val="fr-FR"/>
        </w:rPr>
        <w:t>Schipani et autres c. Italie</w:t>
      </w:r>
      <w:r w:rsidRPr="00AD412E">
        <w:rPr>
          <w:lang w:val="fr-FR"/>
        </w:rPr>
        <w:t>,</w:t>
      </w:r>
    </w:p>
    <w:p w:rsidR="001F4B22" w:rsidRPr="00AD412E" w:rsidRDefault="001F4B22" w:rsidP="00C63990">
      <w:pPr>
        <w:pStyle w:val="ECHRPara"/>
        <w:rPr>
          <w:lang w:val="fr-FR"/>
        </w:rPr>
      </w:pPr>
      <w:r w:rsidRPr="00AD412E">
        <w:rPr>
          <w:lang w:val="fr-FR"/>
        </w:rPr>
        <w:t>La Cour européenne des droits de l</w:t>
      </w:r>
      <w:r>
        <w:rPr>
          <w:lang w:val="fr-FR"/>
        </w:rPr>
        <w:t>’</w:t>
      </w:r>
      <w:r w:rsidRPr="00AD412E">
        <w:rPr>
          <w:lang w:val="fr-FR"/>
        </w:rPr>
        <w:t>homme (</w:t>
      </w:r>
      <w:r>
        <w:rPr>
          <w:lang w:val="fr-FR"/>
        </w:rPr>
        <w:t>quatrième section</w:t>
      </w:r>
      <w:r w:rsidRPr="00AD412E">
        <w:rPr>
          <w:lang w:val="fr-FR"/>
        </w:rPr>
        <w:t xml:space="preserve">), siégeant en une </w:t>
      </w:r>
      <w:r>
        <w:rPr>
          <w:lang w:val="fr-FR"/>
        </w:rPr>
        <w:t>chambre</w:t>
      </w:r>
      <w:r w:rsidRPr="00AD412E">
        <w:rPr>
          <w:lang w:val="fr-FR"/>
        </w:rPr>
        <w:t xml:space="preserve"> composée de :</w:t>
      </w:r>
    </w:p>
    <w:p w:rsidR="001F4B22" w:rsidRPr="00AD412E" w:rsidRDefault="001F4B22" w:rsidP="00C63990">
      <w:pPr>
        <w:pStyle w:val="ECHRDecisionBody"/>
        <w:rPr>
          <w:lang w:val="fr-FR"/>
        </w:rPr>
      </w:pPr>
      <w:r w:rsidRPr="00C75035">
        <w:rPr>
          <w:lang w:val="fr-FR"/>
        </w:rPr>
        <w:tab/>
        <w:t>Päivi</w:t>
      </w:r>
      <w:r>
        <w:rPr>
          <w:lang w:val="fr-FR"/>
        </w:rPr>
        <w:t xml:space="preserve"> </w:t>
      </w:r>
      <w:r w:rsidRPr="00C75035">
        <w:rPr>
          <w:lang w:val="fr-FR"/>
        </w:rPr>
        <w:t>Hirvelä</w:t>
      </w:r>
      <w:r>
        <w:rPr>
          <w:lang w:val="fr-FR"/>
        </w:rPr>
        <w:t>,</w:t>
      </w:r>
      <w:r w:rsidRPr="00C75035">
        <w:rPr>
          <w:i/>
          <w:lang w:val="fr-FR"/>
        </w:rPr>
        <w:t xml:space="preserve"> présidente,</w:t>
      </w:r>
      <w:r>
        <w:rPr>
          <w:i/>
          <w:lang w:val="fr-FR"/>
        </w:rPr>
        <w:br/>
      </w:r>
      <w:r w:rsidRPr="00C75035">
        <w:rPr>
          <w:lang w:val="fr-FR"/>
        </w:rPr>
        <w:tab/>
        <w:t>Guido</w:t>
      </w:r>
      <w:r>
        <w:rPr>
          <w:lang w:val="fr-FR"/>
        </w:rPr>
        <w:t xml:space="preserve"> </w:t>
      </w:r>
      <w:r w:rsidRPr="00C75035">
        <w:rPr>
          <w:lang w:val="fr-FR"/>
        </w:rPr>
        <w:t>Raimondi</w:t>
      </w:r>
      <w:r>
        <w:rPr>
          <w:lang w:val="fr-FR"/>
        </w:rPr>
        <w:t>,</w:t>
      </w:r>
      <w:r>
        <w:rPr>
          <w:i/>
          <w:lang w:val="fr-FR"/>
        </w:rPr>
        <w:br/>
      </w:r>
      <w:r w:rsidRPr="00C75035">
        <w:rPr>
          <w:lang w:val="fr-FR"/>
        </w:rPr>
        <w:tab/>
        <w:t>George</w:t>
      </w:r>
      <w:r>
        <w:rPr>
          <w:lang w:val="fr-FR"/>
        </w:rPr>
        <w:t xml:space="preserve"> </w:t>
      </w:r>
      <w:r w:rsidRPr="00C75035">
        <w:rPr>
          <w:lang w:val="fr-FR"/>
        </w:rPr>
        <w:t>Nicolaou</w:t>
      </w:r>
      <w:r>
        <w:rPr>
          <w:lang w:val="fr-FR"/>
        </w:rPr>
        <w:t>,</w:t>
      </w:r>
      <w:r>
        <w:rPr>
          <w:i/>
          <w:lang w:val="fr-FR"/>
        </w:rPr>
        <w:br/>
      </w:r>
      <w:r w:rsidRPr="00C75035">
        <w:rPr>
          <w:lang w:val="fr-FR"/>
        </w:rPr>
        <w:tab/>
        <w:t>Ledi</w:t>
      </w:r>
      <w:r>
        <w:rPr>
          <w:lang w:val="fr-FR"/>
        </w:rPr>
        <w:t xml:space="preserve"> </w:t>
      </w:r>
      <w:r w:rsidRPr="00C75035">
        <w:rPr>
          <w:lang w:val="fr-FR"/>
        </w:rPr>
        <w:t>Bianku</w:t>
      </w:r>
      <w:r>
        <w:rPr>
          <w:lang w:val="fr-FR"/>
        </w:rPr>
        <w:t>,</w:t>
      </w:r>
      <w:r>
        <w:rPr>
          <w:i/>
          <w:lang w:val="fr-FR"/>
        </w:rPr>
        <w:br/>
      </w:r>
      <w:r w:rsidRPr="00C75035">
        <w:rPr>
          <w:lang w:val="fr-FR"/>
        </w:rPr>
        <w:tab/>
        <w:t>Paul</w:t>
      </w:r>
      <w:r>
        <w:rPr>
          <w:lang w:val="fr-FR"/>
        </w:rPr>
        <w:t xml:space="preserve"> </w:t>
      </w:r>
      <w:r w:rsidRPr="00C75035">
        <w:rPr>
          <w:lang w:val="fr-FR"/>
        </w:rPr>
        <w:t>Mahoney</w:t>
      </w:r>
      <w:r>
        <w:rPr>
          <w:lang w:val="fr-FR"/>
        </w:rPr>
        <w:t>,</w:t>
      </w:r>
      <w:r>
        <w:rPr>
          <w:i/>
          <w:lang w:val="fr-FR"/>
        </w:rPr>
        <w:br/>
      </w:r>
      <w:r w:rsidRPr="00C75035">
        <w:rPr>
          <w:lang w:val="fr-FR"/>
        </w:rPr>
        <w:tab/>
        <w:t>Krzysztof</w:t>
      </w:r>
      <w:r>
        <w:rPr>
          <w:lang w:val="fr-FR"/>
        </w:rPr>
        <w:t xml:space="preserve"> </w:t>
      </w:r>
      <w:r w:rsidRPr="00C75035">
        <w:rPr>
          <w:lang w:val="fr-FR"/>
        </w:rPr>
        <w:t>Wojtyczek</w:t>
      </w:r>
      <w:r>
        <w:rPr>
          <w:lang w:val="fr-FR"/>
        </w:rPr>
        <w:t>,</w:t>
      </w:r>
      <w:r>
        <w:rPr>
          <w:i/>
          <w:lang w:val="fr-FR"/>
        </w:rPr>
        <w:br/>
      </w:r>
      <w:r w:rsidRPr="00C75035">
        <w:rPr>
          <w:lang w:val="fr-FR"/>
        </w:rPr>
        <w:tab/>
        <w:t>Yonko</w:t>
      </w:r>
      <w:r>
        <w:rPr>
          <w:lang w:val="fr-FR"/>
        </w:rPr>
        <w:t xml:space="preserve"> </w:t>
      </w:r>
      <w:r w:rsidRPr="00C75035">
        <w:rPr>
          <w:lang w:val="fr-FR"/>
        </w:rPr>
        <w:t>Grozev</w:t>
      </w:r>
      <w:r>
        <w:rPr>
          <w:lang w:val="fr-FR"/>
        </w:rPr>
        <w:t>,</w:t>
      </w:r>
      <w:r w:rsidRPr="00C75035">
        <w:rPr>
          <w:i/>
          <w:lang w:val="fr-FR"/>
        </w:rPr>
        <w:t xml:space="preserve"> juges,</w:t>
      </w:r>
      <w:r>
        <w:rPr>
          <w:i/>
          <w:lang w:val="fr-FR"/>
        </w:rPr>
        <w:br/>
      </w:r>
      <w:r w:rsidRPr="00AD412E">
        <w:rPr>
          <w:lang w:val="fr-FR"/>
        </w:rPr>
        <w:t xml:space="preserve">et </w:t>
      </w:r>
      <w:r w:rsidRPr="0072720E">
        <w:rPr>
          <w:lang w:val="fr-FR"/>
        </w:rPr>
        <w:t xml:space="preserve">de </w:t>
      </w:r>
      <w:r>
        <w:rPr>
          <w:lang w:val="fr-FR"/>
        </w:rPr>
        <w:t>Françoise</w:t>
      </w:r>
      <w:r w:rsidRPr="0072720E">
        <w:rPr>
          <w:lang w:val="fr-FR"/>
        </w:rPr>
        <w:t xml:space="preserve"> </w:t>
      </w:r>
      <w:r>
        <w:rPr>
          <w:lang w:val="fr-FR"/>
        </w:rPr>
        <w:t>Elens-Passos</w:t>
      </w:r>
      <w:r w:rsidRPr="0072720E">
        <w:rPr>
          <w:lang w:val="fr-FR"/>
        </w:rPr>
        <w:t xml:space="preserve">, </w:t>
      </w:r>
      <w:r w:rsidRPr="0072720E">
        <w:rPr>
          <w:i/>
          <w:lang w:val="fr-FR"/>
        </w:rPr>
        <w:t>greffière</w:t>
      </w:r>
      <w:r w:rsidRPr="0072720E">
        <w:rPr>
          <w:i/>
          <w:iCs/>
          <w:lang w:val="fr-FR"/>
        </w:rPr>
        <w:t xml:space="preserve"> d</w:t>
      </w:r>
      <w:r w:rsidRPr="0072720E">
        <w:rPr>
          <w:i/>
          <w:lang w:val="fr-FR"/>
        </w:rPr>
        <w:t>e section</w:t>
      </w:r>
      <w:r w:rsidRPr="00AD412E">
        <w:rPr>
          <w:i/>
          <w:lang w:val="fr-FR"/>
        </w:rPr>
        <w:t>,</w:t>
      </w:r>
    </w:p>
    <w:p w:rsidR="001F4B22" w:rsidRPr="00AD412E" w:rsidRDefault="001F4B22" w:rsidP="00C63990">
      <w:pPr>
        <w:pStyle w:val="ECHRPara"/>
        <w:rPr>
          <w:lang w:val="fr-FR"/>
        </w:rPr>
      </w:pPr>
      <w:r w:rsidRPr="00AD412E">
        <w:rPr>
          <w:lang w:val="fr-FR"/>
        </w:rPr>
        <w:t xml:space="preserve">Après en avoir délibéré en chambre du conseil le </w:t>
      </w:r>
      <w:r>
        <w:rPr>
          <w:lang w:val="fr-FR"/>
        </w:rPr>
        <w:t>30 juin 2015</w:t>
      </w:r>
      <w:r w:rsidRPr="00AD412E">
        <w:rPr>
          <w:lang w:val="fr-FR"/>
        </w:rPr>
        <w:t>,</w:t>
      </w:r>
    </w:p>
    <w:p w:rsidR="001F4B22" w:rsidRPr="00AD412E" w:rsidRDefault="001F4B22" w:rsidP="00C63990">
      <w:pPr>
        <w:pStyle w:val="ECHRPara"/>
        <w:rPr>
          <w:lang w:val="fr-FR"/>
        </w:rPr>
      </w:pPr>
      <w:r w:rsidRPr="00AD412E">
        <w:rPr>
          <w:lang w:val="fr-FR"/>
        </w:rPr>
        <w:t>Rend l</w:t>
      </w:r>
      <w:r>
        <w:rPr>
          <w:lang w:val="fr-FR"/>
        </w:rPr>
        <w:t>’</w:t>
      </w:r>
      <w:r w:rsidRPr="00AD412E">
        <w:rPr>
          <w:lang w:val="fr-FR"/>
        </w:rPr>
        <w:t>arrêt que voici, adopté à cette date :</w:t>
      </w:r>
    </w:p>
    <w:p w:rsidR="001F4B22" w:rsidRPr="00AD412E" w:rsidRDefault="001F4B22" w:rsidP="00E77CB3">
      <w:pPr>
        <w:pStyle w:val="ECHRTitle1"/>
        <w:rPr>
          <w:lang w:val="fr-FR"/>
        </w:rPr>
      </w:pPr>
      <w:r w:rsidRPr="00AD412E">
        <w:rPr>
          <w:lang w:val="fr-FR"/>
        </w:rPr>
        <w:t>PROCÉDURE</w:t>
      </w:r>
    </w:p>
    <w:p w:rsidR="001F4B22" w:rsidRPr="006D0991" w:rsidRDefault="001F4B22" w:rsidP="00C63990">
      <w:pPr>
        <w:pStyle w:val="ECHRPara"/>
        <w:rPr>
          <w:lang w:val="fr-FR"/>
        </w:rPr>
      </w:pPr>
      <w:r w:rsidRPr="00051B0B">
        <w:rPr>
          <w:lang w:val="fr-FR"/>
        </w:rPr>
        <w:fldChar w:fldCharType="begin"/>
      </w:r>
      <w:r w:rsidRPr="00051B0B">
        <w:rPr>
          <w:lang w:val="fr-FR"/>
        </w:rPr>
        <w:instrText xml:space="preserve"> SEQ level0 \*arabic </w:instrText>
      </w:r>
      <w:r w:rsidRPr="00051B0B">
        <w:rPr>
          <w:lang w:val="fr-FR"/>
        </w:rPr>
        <w:fldChar w:fldCharType="separate"/>
      </w:r>
      <w:r>
        <w:rPr>
          <w:noProof/>
          <w:lang w:val="fr-FR"/>
        </w:rPr>
        <w:t>1</w:t>
      </w:r>
      <w:r w:rsidRPr="00051B0B">
        <w:rPr>
          <w:lang w:val="fr-FR"/>
        </w:rPr>
        <w:fldChar w:fldCharType="end"/>
      </w:r>
      <w:r w:rsidRPr="006D0991">
        <w:rPr>
          <w:lang w:val="fr-FR"/>
        </w:rPr>
        <w:t>.  À l</w:t>
      </w:r>
      <w:r>
        <w:rPr>
          <w:lang w:val="fr-FR"/>
        </w:rPr>
        <w:t>’</w:t>
      </w:r>
      <w:r w:rsidRPr="006D0991">
        <w:rPr>
          <w:lang w:val="fr-FR"/>
        </w:rPr>
        <w:t>origine de l</w:t>
      </w:r>
      <w:r>
        <w:rPr>
          <w:lang w:val="fr-FR"/>
        </w:rPr>
        <w:t>’</w:t>
      </w:r>
      <w:r w:rsidRPr="006D0991">
        <w:rPr>
          <w:lang w:val="fr-FR"/>
        </w:rPr>
        <w:t>affaire se trouve une requête (n</w:t>
      </w:r>
      <w:r w:rsidRPr="006D0991">
        <w:rPr>
          <w:vertAlign w:val="superscript"/>
          <w:lang w:val="fr-FR"/>
        </w:rPr>
        <w:t>o</w:t>
      </w:r>
      <w:r w:rsidRPr="006D0991">
        <w:rPr>
          <w:lang w:val="fr-FR"/>
        </w:rPr>
        <w:t xml:space="preserve"> 38369/09) dirigée contre la République italienne et dont quinze ressortissants de cet État (« les requérants ») ont saisi la Cour le 6 juillet 2009 en vertu de l</w:t>
      </w:r>
      <w:r>
        <w:rPr>
          <w:lang w:val="fr-FR"/>
        </w:rPr>
        <w:t>’</w:t>
      </w:r>
      <w:r w:rsidRPr="006D0991">
        <w:rPr>
          <w:lang w:val="fr-FR"/>
        </w:rPr>
        <w:t>article 34 de la Convention de sauvegarde des droits de l</w:t>
      </w:r>
      <w:r>
        <w:rPr>
          <w:lang w:val="fr-FR"/>
        </w:rPr>
        <w:t>’</w:t>
      </w:r>
      <w:r w:rsidRPr="006D0991">
        <w:rPr>
          <w:lang w:val="fr-FR"/>
        </w:rPr>
        <w:t>homme et des libertés fondamentales (« la Convention »).</w:t>
      </w:r>
    </w:p>
    <w:p w:rsidR="001F4B22" w:rsidRDefault="001F4B22" w:rsidP="00C63990">
      <w:pPr>
        <w:pStyle w:val="ECHRPara"/>
        <w:rPr>
          <w:lang w:val="fr-FR"/>
        </w:rPr>
      </w:pPr>
      <w:r w:rsidRPr="006D0991">
        <w:rPr>
          <w:lang w:val="fr-FR"/>
        </w:rPr>
        <w:fldChar w:fldCharType="begin"/>
      </w:r>
      <w:r w:rsidRPr="006D0991">
        <w:rPr>
          <w:lang w:val="fr-FR"/>
        </w:rPr>
        <w:instrText xml:space="preserve"> SEQ level0 \*arabic </w:instrText>
      </w:r>
      <w:r w:rsidRPr="006D0991">
        <w:rPr>
          <w:lang w:val="fr-FR"/>
        </w:rPr>
        <w:fldChar w:fldCharType="separate"/>
      </w:r>
      <w:r>
        <w:rPr>
          <w:noProof/>
          <w:lang w:val="fr-FR"/>
        </w:rPr>
        <w:t>2</w:t>
      </w:r>
      <w:r w:rsidRPr="006D0991">
        <w:rPr>
          <w:lang w:val="fr-FR"/>
        </w:rPr>
        <w:fldChar w:fldCharType="end"/>
      </w:r>
      <w:r w:rsidRPr="006D0991">
        <w:rPr>
          <w:lang w:val="fr-FR"/>
        </w:rPr>
        <w:t>.  Les requérants ont été représentés par M</w:t>
      </w:r>
      <w:r w:rsidRPr="006D0991">
        <w:rPr>
          <w:vertAlign w:val="superscript"/>
          <w:lang w:val="fr-FR"/>
        </w:rPr>
        <w:t>e</w:t>
      </w:r>
      <w:r w:rsidRPr="006D0991">
        <w:rPr>
          <w:lang w:val="fr-FR"/>
        </w:rPr>
        <w:t> M. Giungato, avocate à Cosenza. Le gouvernement italien (« le Gouvernement ») a été représenté par son agent, M</w:t>
      </w:r>
      <w:r w:rsidRPr="006D0991">
        <w:rPr>
          <w:vertAlign w:val="superscript"/>
          <w:lang w:val="fr-FR"/>
        </w:rPr>
        <w:t>me</w:t>
      </w:r>
      <w:r w:rsidRPr="006D0991">
        <w:rPr>
          <w:lang w:val="fr-FR"/>
        </w:rPr>
        <w:t xml:space="preserve"> E. Spatafora, et par son coagent, M. G.M. Pellegrini.</w:t>
      </w:r>
    </w:p>
    <w:p w:rsidR="001F4B22" w:rsidRPr="006D0991" w:rsidRDefault="001F4B22" w:rsidP="00C63990">
      <w:pPr>
        <w:pStyle w:val="ECHRPara"/>
        <w:rPr>
          <w:lang w:val="fr-FR"/>
        </w:rPr>
      </w:pPr>
      <w:r w:rsidRPr="006D0991">
        <w:rPr>
          <w:lang w:val="fr-FR"/>
        </w:rPr>
        <w:fldChar w:fldCharType="begin"/>
      </w:r>
      <w:r w:rsidRPr="006D0991">
        <w:rPr>
          <w:lang w:val="fr-FR"/>
        </w:rPr>
        <w:instrText xml:space="preserve"> SEQ level0 \*arabic </w:instrText>
      </w:r>
      <w:r w:rsidRPr="006D0991">
        <w:rPr>
          <w:lang w:val="fr-FR"/>
        </w:rPr>
        <w:fldChar w:fldCharType="separate"/>
      </w:r>
      <w:r>
        <w:rPr>
          <w:noProof/>
          <w:lang w:val="fr-FR"/>
        </w:rPr>
        <w:t>3</w:t>
      </w:r>
      <w:r w:rsidRPr="006D0991">
        <w:rPr>
          <w:lang w:val="fr-FR"/>
        </w:rPr>
        <w:fldChar w:fldCharType="end"/>
      </w:r>
      <w:r w:rsidRPr="006D0991">
        <w:rPr>
          <w:lang w:val="fr-FR"/>
        </w:rPr>
        <w:t>.  Les requérants allèguent que la procédure civile qu</w:t>
      </w:r>
      <w:r>
        <w:rPr>
          <w:lang w:val="fr-FR"/>
        </w:rPr>
        <w:t>’</w:t>
      </w:r>
      <w:r w:rsidRPr="006D0991">
        <w:rPr>
          <w:lang w:val="fr-FR"/>
        </w:rPr>
        <w:t>ils ont menée n</w:t>
      </w:r>
      <w:r>
        <w:rPr>
          <w:lang w:val="fr-FR"/>
        </w:rPr>
        <w:t>’</w:t>
      </w:r>
      <w:r w:rsidRPr="006D0991">
        <w:rPr>
          <w:lang w:val="fr-FR"/>
        </w:rPr>
        <w:t>a pas été équitable, et qu</w:t>
      </w:r>
      <w:r>
        <w:rPr>
          <w:lang w:val="fr-FR"/>
        </w:rPr>
        <w:t>’</w:t>
      </w:r>
      <w:r w:rsidRPr="006D0991">
        <w:rPr>
          <w:lang w:val="fr-FR"/>
        </w:rPr>
        <w:t>ils ont été victimes d</w:t>
      </w:r>
      <w:r>
        <w:rPr>
          <w:lang w:val="fr-FR"/>
        </w:rPr>
        <w:t>’</w:t>
      </w:r>
      <w:r w:rsidRPr="006D0991">
        <w:rPr>
          <w:lang w:val="fr-FR"/>
        </w:rPr>
        <w:t>un traitement discriminatoire et d</w:t>
      </w:r>
      <w:r>
        <w:rPr>
          <w:lang w:val="fr-FR"/>
        </w:rPr>
        <w:t>’</w:t>
      </w:r>
      <w:r w:rsidRPr="006D0991">
        <w:rPr>
          <w:lang w:val="fr-FR"/>
        </w:rPr>
        <w:t>une atteinte à leur droit au respect de leurs biens.</w:t>
      </w:r>
    </w:p>
    <w:p w:rsidR="001F4B22" w:rsidRPr="006D0991" w:rsidRDefault="001F4B22" w:rsidP="00C63990">
      <w:pPr>
        <w:pStyle w:val="ECHRPara"/>
        <w:rPr>
          <w:szCs w:val="24"/>
          <w:lang w:val="fr-FR" w:eastAsia="en-GB"/>
        </w:rPr>
      </w:pPr>
      <w:r w:rsidRPr="006D0991">
        <w:rPr>
          <w:lang w:val="fr-FR"/>
        </w:rPr>
        <w:fldChar w:fldCharType="begin"/>
      </w:r>
      <w:r w:rsidRPr="006D0991">
        <w:rPr>
          <w:lang w:val="fr-FR"/>
        </w:rPr>
        <w:instrText xml:space="preserve"> SEQ level0 \*arabic </w:instrText>
      </w:r>
      <w:r w:rsidRPr="006D0991">
        <w:rPr>
          <w:lang w:val="fr-FR"/>
        </w:rPr>
        <w:fldChar w:fldCharType="separate"/>
      </w:r>
      <w:r>
        <w:rPr>
          <w:noProof/>
          <w:lang w:val="fr-FR"/>
        </w:rPr>
        <w:t>4</w:t>
      </w:r>
      <w:r w:rsidRPr="006D0991">
        <w:rPr>
          <w:lang w:val="fr-FR"/>
        </w:rPr>
        <w:fldChar w:fldCharType="end"/>
      </w:r>
      <w:r w:rsidRPr="006D0991">
        <w:rPr>
          <w:lang w:val="fr-FR"/>
        </w:rPr>
        <w:t xml:space="preserve">.  Le </w:t>
      </w:r>
      <w:r w:rsidRPr="006D0991">
        <w:rPr>
          <w:szCs w:val="24"/>
          <w:lang w:val="fr-FR"/>
        </w:rPr>
        <w:t>16 avril 2014</w:t>
      </w:r>
      <w:r w:rsidRPr="006D0991">
        <w:rPr>
          <w:lang w:val="fr-FR"/>
        </w:rPr>
        <w:t>, la requête a été communiquée au Gouvernement.</w:t>
      </w:r>
    </w:p>
    <w:p w:rsidR="001F4B22" w:rsidRPr="006D0991" w:rsidRDefault="001F4B22" w:rsidP="00E77CB3">
      <w:pPr>
        <w:pStyle w:val="ECHRTitle1"/>
        <w:tabs>
          <w:tab w:val="left" w:pos="5387"/>
        </w:tabs>
        <w:rPr>
          <w:lang w:val="fr-FR"/>
        </w:rPr>
      </w:pPr>
      <w:r w:rsidRPr="006D0991">
        <w:rPr>
          <w:lang w:val="fr-FR"/>
        </w:rPr>
        <w:t>EN FAIT</w:t>
      </w:r>
    </w:p>
    <w:p w:rsidR="001F4B22" w:rsidRPr="00AD412E" w:rsidRDefault="001F4B22" w:rsidP="00C63990">
      <w:pPr>
        <w:pStyle w:val="ECHRHeading1"/>
        <w:rPr>
          <w:lang w:val="fr-FR"/>
        </w:rPr>
      </w:pPr>
      <w:r w:rsidRPr="00AD412E">
        <w:rPr>
          <w:lang w:val="fr-FR"/>
        </w:rPr>
        <w:t>I.  LES CIRCONSTANCES DE L</w:t>
      </w:r>
      <w:r>
        <w:rPr>
          <w:lang w:val="fr-FR"/>
        </w:rPr>
        <w:t>’</w:t>
      </w:r>
      <w:r w:rsidRPr="00AD412E">
        <w:rPr>
          <w:lang w:val="fr-FR"/>
        </w:rPr>
        <w:t>ESPÈCE</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w:t>
      </w:r>
      <w:r>
        <w:rPr>
          <w:lang w:val="fr-FR"/>
        </w:rPr>
        <w:fldChar w:fldCharType="end"/>
      </w:r>
      <w:r w:rsidRPr="00AD412E">
        <w:rPr>
          <w:lang w:val="fr-FR"/>
        </w:rPr>
        <w:t>.  </w:t>
      </w:r>
      <w:r>
        <w:rPr>
          <w:lang w:val="fr-FR"/>
        </w:rPr>
        <w:t>La liste des requérants figure en annexe</w:t>
      </w:r>
      <w:r w:rsidRPr="00AD412E">
        <w:rPr>
          <w:lang w:val="fr-FR"/>
        </w:rPr>
        <w:t>.</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w:t>
      </w:r>
      <w:r>
        <w:rPr>
          <w:lang w:val="fr-FR"/>
        </w:rPr>
        <w:fldChar w:fldCharType="end"/>
      </w:r>
      <w:r w:rsidRPr="00AD412E">
        <w:rPr>
          <w:lang w:val="fr-FR"/>
        </w:rPr>
        <w:t>.  </w:t>
      </w:r>
      <w:r w:rsidRPr="00790333">
        <w:rPr>
          <w:lang w:val="fr-FR"/>
        </w:rPr>
        <w:t xml:space="preserve">Les requérants sont des médecins </w:t>
      </w:r>
      <w:r>
        <w:rPr>
          <w:lang w:val="fr-FR"/>
        </w:rPr>
        <w:t xml:space="preserve">qui </w:t>
      </w:r>
      <w:r w:rsidRPr="00790333">
        <w:rPr>
          <w:lang w:val="fr-FR"/>
        </w:rPr>
        <w:t>s</w:t>
      </w:r>
      <w:r>
        <w:rPr>
          <w:lang w:val="fr-FR"/>
        </w:rPr>
        <w:t>’</w:t>
      </w:r>
      <w:r w:rsidRPr="00790333">
        <w:rPr>
          <w:lang w:val="fr-FR"/>
        </w:rPr>
        <w:t>éta</w:t>
      </w:r>
      <w:r>
        <w:rPr>
          <w:lang w:val="fr-FR"/>
        </w:rPr>
        <w:t>ie</w:t>
      </w:r>
      <w:r w:rsidRPr="00790333">
        <w:rPr>
          <w:lang w:val="fr-FR"/>
        </w:rPr>
        <w:t>nt inscrits à des cours de spécialisation avant l</w:t>
      </w:r>
      <w:r>
        <w:rPr>
          <w:lang w:val="fr-FR"/>
        </w:rPr>
        <w:t>’</w:t>
      </w:r>
      <w:r w:rsidRPr="00790333">
        <w:rPr>
          <w:lang w:val="fr-FR"/>
        </w:rPr>
        <w:t>année universitaire 1991/1992.</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7</w:t>
      </w:r>
      <w:r>
        <w:rPr>
          <w:lang w:val="fr-FR"/>
        </w:rPr>
        <w:fldChar w:fldCharType="end"/>
      </w:r>
      <w:r>
        <w:rPr>
          <w:lang w:val="fr-FR"/>
        </w:rPr>
        <w:t>.  </w:t>
      </w:r>
      <w:r w:rsidRPr="00790333">
        <w:rPr>
          <w:lang w:val="fr-FR"/>
        </w:rPr>
        <w:t xml:space="preserve">Le 20 juillet 1996, ils assignèrent le </w:t>
      </w:r>
      <w:r>
        <w:rPr>
          <w:lang w:val="fr-FR"/>
        </w:rPr>
        <w:t>p</w:t>
      </w:r>
      <w:r w:rsidRPr="00790333">
        <w:rPr>
          <w:lang w:val="fr-FR"/>
        </w:rPr>
        <w:t>résident du Conseil des ministres à comparaître devant le tribunal de Rome afin d</w:t>
      </w:r>
      <w:r>
        <w:rPr>
          <w:lang w:val="fr-FR"/>
        </w:rPr>
        <w:t>’</w:t>
      </w:r>
      <w:r w:rsidRPr="00790333">
        <w:rPr>
          <w:lang w:val="fr-FR"/>
        </w:rPr>
        <w:t xml:space="preserve">obtenir la réparation des dommages </w:t>
      </w:r>
      <w:r>
        <w:rPr>
          <w:lang w:val="fr-FR"/>
        </w:rPr>
        <w:t xml:space="preserve">qu’ils estimaient avoir </w:t>
      </w:r>
      <w:r w:rsidRPr="00790333">
        <w:rPr>
          <w:lang w:val="fr-FR"/>
        </w:rPr>
        <w:t xml:space="preserve">subis </w:t>
      </w:r>
      <w:r>
        <w:rPr>
          <w:lang w:val="fr-FR"/>
        </w:rPr>
        <w:t>en raison</w:t>
      </w:r>
      <w:r w:rsidRPr="00790333">
        <w:rPr>
          <w:lang w:val="fr-FR"/>
        </w:rPr>
        <w:t xml:space="preserve"> d</w:t>
      </w:r>
      <w:r>
        <w:rPr>
          <w:lang w:val="fr-FR"/>
        </w:rPr>
        <w:t xml:space="preserve">’une </w:t>
      </w:r>
      <w:r w:rsidRPr="00790333">
        <w:rPr>
          <w:lang w:val="fr-FR"/>
        </w:rPr>
        <w:t>inertie de l</w:t>
      </w:r>
      <w:r>
        <w:rPr>
          <w:lang w:val="fr-FR"/>
        </w:rPr>
        <w:t>’</w:t>
      </w:r>
      <w:r w:rsidRPr="00790333">
        <w:rPr>
          <w:lang w:val="fr-FR"/>
        </w:rPr>
        <w:t>État italien dans la transposition en droit interne des directives communautaires n</w:t>
      </w:r>
      <w:r w:rsidRPr="00790333">
        <w:rPr>
          <w:vertAlign w:val="superscript"/>
          <w:lang w:val="fr-FR"/>
        </w:rPr>
        <w:t>o</w:t>
      </w:r>
      <w:r w:rsidRPr="00790333">
        <w:rPr>
          <w:lang w:val="fr-FR"/>
        </w:rPr>
        <w:t xml:space="preserve"> 363 du 16</w:t>
      </w:r>
      <w:r>
        <w:rPr>
          <w:lang w:val="fr-FR"/>
        </w:rPr>
        <w:t> </w:t>
      </w:r>
      <w:r w:rsidRPr="00790333">
        <w:rPr>
          <w:lang w:val="fr-FR"/>
        </w:rPr>
        <w:t>juin 1975 et n</w:t>
      </w:r>
      <w:r w:rsidRPr="00790333">
        <w:rPr>
          <w:vertAlign w:val="superscript"/>
          <w:lang w:val="fr-FR"/>
        </w:rPr>
        <w:t>o</w:t>
      </w:r>
      <w:r>
        <w:rPr>
          <w:vertAlign w:val="superscript"/>
          <w:lang w:val="fr-FR"/>
        </w:rPr>
        <w:t xml:space="preserve"> </w:t>
      </w:r>
      <w:r w:rsidRPr="00790333">
        <w:rPr>
          <w:lang w:val="fr-FR"/>
        </w:rPr>
        <w:t>82 du 26 janvier 1976.</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w:t>
      </w:r>
      <w:r>
        <w:rPr>
          <w:lang w:val="fr-FR"/>
        </w:rPr>
        <w:fldChar w:fldCharType="end"/>
      </w:r>
      <w:r>
        <w:rPr>
          <w:lang w:val="fr-FR"/>
        </w:rPr>
        <w:t>.  </w:t>
      </w:r>
      <w:r w:rsidRPr="00790333">
        <w:rPr>
          <w:lang w:val="fr-FR"/>
        </w:rPr>
        <w:t xml:space="preserve">Ils </w:t>
      </w:r>
      <w:r>
        <w:rPr>
          <w:lang w:val="fr-FR"/>
        </w:rPr>
        <w:t>soutenaient</w:t>
      </w:r>
      <w:r w:rsidRPr="00790333">
        <w:rPr>
          <w:lang w:val="fr-FR"/>
        </w:rPr>
        <w:t xml:space="preserve"> qu</w:t>
      </w:r>
      <w:r>
        <w:rPr>
          <w:lang w:val="fr-FR"/>
        </w:rPr>
        <w:t xml:space="preserve">e, </w:t>
      </w:r>
      <w:r w:rsidRPr="00790333">
        <w:rPr>
          <w:lang w:val="fr-FR"/>
        </w:rPr>
        <w:t>aux termes de ces directives, les médecins avaient droit</w:t>
      </w:r>
      <w:r>
        <w:rPr>
          <w:lang w:val="fr-FR"/>
        </w:rPr>
        <w:t>,</w:t>
      </w:r>
      <w:r w:rsidRPr="00790333">
        <w:rPr>
          <w:lang w:val="fr-FR"/>
        </w:rPr>
        <w:t xml:space="preserve"> pendant la période de formation professionnelle, à une rémunération adéquate</w:t>
      </w:r>
      <w:r>
        <w:rPr>
          <w:lang w:val="fr-FR"/>
        </w:rPr>
        <w:t xml:space="preserve"> et que l</w:t>
      </w:r>
      <w:r w:rsidRPr="00790333">
        <w:rPr>
          <w:lang w:val="fr-FR"/>
        </w:rPr>
        <w:t xml:space="preserve">es États membres devaient incorporer dans leur système juridique les principes énoncés dans les directives en question dans un délai expirant le 31 décembre 1982. </w:t>
      </w:r>
      <w:r>
        <w:rPr>
          <w:lang w:val="fr-FR"/>
        </w:rPr>
        <w:t xml:space="preserve">Ils indiquaient que </w:t>
      </w:r>
      <w:r w:rsidRPr="00790333">
        <w:rPr>
          <w:lang w:val="fr-FR"/>
        </w:rPr>
        <w:t>l</w:t>
      </w:r>
      <w:r>
        <w:rPr>
          <w:lang w:val="fr-FR"/>
        </w:rPr>
        <w:t>’</w:t>
      </w:r>
      <w:r w:rsidRPr="00790333">
        <w:rPr>
          <w:lang w:val="fr-FR"/>
        </w:rPr>
        <w:t>Italie n</w:t>
      </w:r>
      <w:r>
        <w:rPr>
          <w:lang w:val="fr-FR"/>
        </w:rPr>
        <w:t>’</w:t>
      </w:r>
      <w:r w:rsidRPr="00790333">
        <w:rPr>
          <w:lang w:val="fr-FR"/>
        </w:rPr>
        <w:t>avait satisfait à cette obligation que par le décret législatif n</w:t>
      </w:r>
      <w:r w:rsidRPr="000B2C31">
        <w:rPr>
          <w:vertAlign w:val="superscript"/>
          <w:lang w:val="fr-FR"/>
        </w:rPr>
        <w:t>o</w:t>
      </w:r>
      <w:r w:rsidRPr="00790333">
        <w:rPr>
          <w:lang w:val="fr-FR"/>
        </w:rPr>
        <w:t xml:space="preserve"> 257 du 8 août 1991. </w:t>
      </w:r>
      <w:r>
        <w:rPr>
          <w:lang w:val="fr-FR"/>
        </w:rPr>
        <w:t>D’après eux, c</w:t>
      </w:r>
      <w:r w:rsidRPr="00790333">
        <w:rPr>
          <w:lang w:val="fr-FR"/>
        </w:rPr>
        <w:t>elui-ci prévoyait qu</w:t>
      </w:r>
      <w:r>
        <w:rPr>
          <w:lang w:val="fr-FR"/>
        </w:rPr>
        <w:t xml:space="preserve">e, </w:t>
      </w:r>
      <w:r w:rsidRPr="00790333">
        <w:rPr>
          <w:lang w:val="fr-FR"/>
        </w:rPr>
        <w:t>à partir de l</w:t>
      </w:r>
      <w:r>
        <w:rPr>
          <w:lang w:val="fr-FR"/>
        </w:rPr>
        <w:t>’</w:t>
      </w:r>
      <w:r w:rsidRPr="00790333">
        <w:rPr>
          <w:lang w:val="fr-FR"/>
        </w:rPr>
        <w:t xml:space="preserve">année universitaire 1991/1992, tout médecin admis </w:t>
      </w:r>
      <w:r>
        <w:rPr>
          <w:lang w:val="fr-FR"/>
        </w:rPr>
        <w:t>à suivre des cours</w:t>
      </w:r>
      <w:r w:rsidRPr="00790333">
        <w:rPr>
          <w:lang w:val="fr-FR"/>
        </w:rPr>
        <w:t xml:space="preserve"> de spécialisation avait droit à une bourse dont le montant </w:t>
      </w:r>
      <w:r>
        <w:rPr>
          <w:lang w:val="fr-FR"/>
        </w:rPr>
        <w:t>aurait été</w:t>
      </w:r>
      <w:r w:rsidRPr="00790333">
        <w:rPr>
          <w:lang w:val="fr-FR"/>
        </w:rPr>
        <w:t>, pour l</w:t>
      </w:r>
      <w:r>
        <w:rPr>
          <w:lang w:val="fr-FR"/>
        </w:rPr>
        <w:t>’</w:t>
      </w:r>
      <w:r w:rsidRPr="00790333">
        <w:rPr>
          <w:lang w:val="fr-FR"/>
        </w:rPr>
        <w:t>année 1991, de 21 500</w:t>
      </w:r>
      <w:r>
        <w:rPr>
          <w:lang w:val="fr-FR"/>
        </w:rPr>
        <w:t> </w:t>
      </w:r>
      <w:r w:rsidRPr="00790333">
        <w:rPr>
          <w:lang w:val="fr-FR"/>
        </w:rPr>
        <w:t>000</w:t>
      </w:r>
      <w:r>
        <w:rPr>
          <w:lang w:val="fr-FR"/>
        </w:rPr>
        <w:t> lires italiennes (ITL </w:t>
      </w:r>
      <w:r w:rsidRPr="00790333">
        <w:rPr>
          <w:lang w:val="fr-FR"/>
        </w:rPr>
        <w:t>– environ 11 103 euros (EUR))</w:t>
      </w:r>
      <w:r>
        <w:rPr>
          <w:lang w:val="fr-FR"/>
        </w:rPr>
        <w:t xml:space="preserve">, et que </w:t>
      </w:r>
      <w:r w:rsidRPr="00790333">
        <w:rPr>
          <w:lang w:val="fr-FR"/>
        </w:rPr>
        <w:t xml:space="preserve">le diplôme obtenu </w:t>
      </w:r>
      <w:r>
        <w:rPr>
          <w:lang w:val="fr-FR"/>
        </w:rPr>
        <w:t>à l’issue de ce cursus</w:t>
      </w:r>
      <w:r w:rsidRPr="00790333">
        <w:rPr>
          <w:lang w:val="fr-FR"/>
        </w:rPr>
        <w:t xml:space="preserve"> donna</w:t>
      </w:r>
      <w:r>
        <w:rPr>
          <w:lang w:val="fr-FR"/>
        </w:rPr>
        <w:t>i</w:t>
      </w:r>
      <w:r w:rsidRPr="00790333">
        <w:rPr>
          <w:lang w:val="fr-FR"/>
        </w:rPr>
        <w:t xml:space="preserve">t droit à des points dans le cadre des concours </w:t>
      </w:r>
      <w:r>
        <w:rPr>
          <w:lang w:val="fr-FR"/>
        </w:rPr>
        <w:t>réservés aux</w:t>
      </w:r>
      <w:r w:rsidRPr="00790333">
        <w:rPr>
          <w:lang w:val="fr-FR"/>
        </w:rPr>
        <w:t xml:space="preserve"> médecins.</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9</w:t>
      </w:r>
      <w:r>
        <w:rPr>
          <w:lang w:val="fr-FR"/>
        </w:rPr>
        <w:fldChar w:fldCharType="end"/>
      </w:r>
      <w:r>
        <w:rPr>
          <w:lang w:val="fr-FR"/>
        </w:rPr>
        <w:t>.  </w:t>
      </w:r>
      <w:r w:rsidRPr="00790333">
        <w:rPr>
          <w:lang w:val="fr-FR"/>
        </w:rPr>
        <w:t xml:space="preserve">Selon les requérants, la transposition tardive en droit interne des principes énoncés dans les directives susmentionnées les avait privés, avant 1991, des droits reconnus par les dispositions communautaires. Ils demandaient dès lors 21 500 000 ITL chacun pour chaque année de spécialisation suivie avant 1991, plus une somme à fixer en équité pour le préjudice </w:t>
      </w:r>
      <w:r>
        <w:rPr>
          <w:lang w:val="fr-FR"/>
        </w:rPr>
        <w:t xml:space="preserve">qui aurait </w:t>
      </w:r>
      <w:r w:rsidRPr="00790333">
        <w:rPr>
          <w:lang w:val="fr-FR"/>
        </w:rPr>
        <w:t>découl</w:t>
      </w:r>
      <w:r>
        <w:rPr>
          <w:lang w:val="fr-FR"/>
        </w:rPr>
        <w:t>é</w:t>
      </w:r>
      <w:r w:rsidRPr="00790333">
        <w:rPr>
          <w:lang w:val="fr-FR"/>
        </w:rPr>
        <w:t xml:space="preserve"> de la non-attribution des points dans le cadre des concours </w:t>
      </w:r>
      <w:r>
        <w:rPr>
          <w:lang w:val="fr-FR"/>
        </w:rPr>
        <w:t>réservés aux</w:t>
      </w:r>
      <w:r w:rsidRPr="00790333">
        <w:rPr>
          <w:lang w:val="fr-FR"/>
        </w:rPr>
        <w:t xml:space="preserve"> médecins.</w:t>
      </w:r>
    </w:p>
    <w:bookmarkStart w:id="2" w:name="sentenzaprimaistanzadispositivo"/>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10</w:t>
      </w:r>
      <w:r>
        <w:rPr>
          <w:lang w:val="fr-FR"/>
        </w:rPr>
        <w:fldChar w:fldCharType="end"/>
      </w:r>
      <w:bookmarkEnd w:id="2"/>
      <w:r>
        <w:rPr>
          <w:lang w:val="fr-FR"/>
        </w:rPr>
        <w:t>.  </w:t>
      </w:r>
      <w:r w:rsidRPr="00790333">
        <w:rPr>
          <w:lang w:val="fr-FR"/>
        </w:rPr>
        <w:t>Par un jugement du 21 février 2000, dont le texte fut déposé au greffe le 1</w:t>
      </w:r>
      <w:r w:rsidRPr="00790333">
        <w:rPr>
          <w:vertAlign w:val="superscript"/>
          <w:lang w:val="fr-FR"/>
        </w:rPr>
        <w:t>er</w:t>
      </w:r>
      <w:r w:rsidRPr="00790333">
        <w:rPr>
          <w:lang w:val="fr-FR"/>
        </w:rPr>
        <w:t xml:space="preserve"> mars 2000, le tribunal de Rome rejeta la demande des requérants.</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11</w:t>
      </w:r>
      <w:r>
        <w:rPr>
          <w:lang w:val="fr-FR"/>
        </w:rPr>
        <w:fldChar w:fldCharType="end"/>
      </w:r>
      <w:r>
        <w:rPr>
          <w:lang w:val="fr-FR"/>
        </w:rPr>
        <w:t>.  </w:t>
      </w:r>
      <w:r w:rsidRPr="00790333">
        <w:rPr>
          <w:lang w:val="fr-FR"/>
        </w:rPr>
        <w:t>Le tribunal observa</w:t>
      </w:r>
      <w:r>
        <w:rPr>
          <w:lang w:val="fr-FR"/>
        </w:rPr>
        <w:t>it</w:t>
      </w:r>
      <w:r w:rsidRPr="00790333">
        <w:rPr>
          <w:lang w:val="fr-FR"/>
        </w:rPr>
        <w:t xml:space="preserve"> que la </w:t>
      </w:r>
      <w:r w:rsidRPr="00F501E3">
        <w:rPr>
          <w:szCs w:val="24"/>
          <w:lang w:val="fr-FR"/>
        </w:rPr>
        <w:t xml:space="preserve">Cour de justice </w:t>
      </w:r>
      <w:r>
        <w:rPr>
          <w:szCs w:val="24"/>
          <w:lang w:val="fr-FR"/>
        </w:rPr>
        <w:t>des Communautés</w:t>
      </w:r>
      <w:r w:rsidRPr="00F501E3">
        <w:rPr>
          <w:szCs w:val="24"/>
          <w:lang w:val="fr-FR"/>
        </w:rPr>
        <w:t xml:space="preserve"> européenne</w:t>
      </w:r>
      <w:r>
        <w:rPr>
          <w:szCs w:val="24"/>
          <w:lang w:val="fr-FR"/>
        </w:rPr>
        <w:t>s</w:t>
      </w:r>
      <w:r w:rsidRPr="00C964F9">
        <w:rPr>
          <w:vertAlign w:val="superscript"/>
        </w:rPr>
        <w:footnoteReference w:id="1"/>
      </w:r>
      <w:r>
        <w:rPr>
          <w:szCs w:val="24"/>
          <w:lang w:val="fr-FR"/>
        </w:rPr>
        <w:t xml:space="preserve"> (CJCE</w:t>
      </w:r>
      <w:r w:rsidRPr="00F501E3">
        <w:rPr>
          <w:szCs w:val="24"/>
          <w:lang w:val="fr-FR"/>
        </w:rPr>
        <w:t>)</w:t>
      </w:r>
      <w:r w:rsidRPr="00790333">
        <w:rPr>
          <w:lang w:val="fr-FR"/>
        </w:rPr>
        <w:t xml:space="preserve"> avait estimé que l</w:t>
      </w:r>
      <w:r>
        <w:rPr>
          <w:lang w:val="fr-FR"/>
        </w:rPr>
        <w:t>’</w:t>
      </w:r>
      <w:r w:rsidRPr="00790333">
        <w:rPr>
          <w:lang w:val="fr-FR"/>
        </w:rPr>
        <w:t xml:space="preserve">État était tenu </w:t>
      </w:r>
      <w:r>
        <w:rPr>
          <w:lang w:val="fr-FR"/>
        </w:rPr>
        <w:t>de</w:t>
      </w:r>
      <w:r w:rsidRPr="00790333">
        <w:rPr>
          <w:lang w:val="fr-FR"/>
        </w:rPr>
        <w:t xml:space="preserve"> dédommager les particuliers </w:t>
      </w:r>
      <w:r>
        <w:rPr>
          <w:lang w:val="fr-FR"/>
        </w:rPr>
        <w:t>qui auraient</w:t>
      </w:r>
      <w:r w:rsidRPr="00790333">
        <w:rPr>
          <w:lang w:val="fr-FR"/>
        </w:rPr>
        <w:t xml:space="preserve"> subi un préjudice </w:t>
      </w:r>
      <w:r>
        <w:rPr>
          <w:lang w:val="fr-FR"/>
        </w:rPr>
        <w:t>découlant</w:t>
      </w:r>
      <w:r w:rsidRPr="00790333">
        <w:rPr>
          <w:lang w:val="fr-FR"/>
        </w:rPr>
        <w:t xml:space="preserve"> du non-respect des obligations communautaires, parmi lesquelles figurait le devoir de transposer en droit interne les directives de l</w:t>
      </w:r>
      <w:r>
        <w:rPr>
          <w:lang w:val="fr-FR"/>
        </w:rPr>
        <w:t>’</w:t>
      </w:r>
      <w:r w:rsidRPr="00790333">
        <w:rPr>
          <w:lang w:val="fr-FR"/>
        </w:rPr>
        <w:t>Union européenne (UE).</w:t>
      </w:r>
    </w:p>
    <w:p w:rsidR="001F4B22"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12</w:t>
      </w:r>
      <w:r>
        <w:rPr>
          <w:lang w:val="fr-FR"/>
        </w:rPr>
        <w:fldChar w:fldCharType="end"/>
      </w:r>
      <w:r>
        <w:rPr>
          <w:lang w:val="fr-FR"/>
        </w:rPr>
        <w:t>.  Toujours selon le tribunal, l</w:t>
      </w:r>
      <w:r w:rsidRPr="00790333">
        <w:rPr>
          <w:lang w:val="fr-FR"/>
        </w:rPr>
        <w:t xml:space="preserve">a </w:t>
      </w:r>
      <w:r>
        <w:rPr>
          <w:lang w:val="fr-FR"/>
        </w:rPr>
        <w:t>CJCE</w:t>
      </w:r>
      <w:r w:rsidRPr="00790333">
        <w:rPr>
          <w:lang w:val="fr-FR"/>
        </w:rPr>
        <w:t xml:space="preserve"> (arrêt du 25 février 1999, affaire C-131/97, </w:t>
      </w:r>
      <w:r w:rsidRPr="00790333">
        <w:rPr>
          <w:i/>
          <w:lang w:val="fr-FR"/>
        </w:rPr>
        <w:t>Carbonari</w:t>
      </w:r>
      <w:r w:rsidRPr="00790333">
        <w:rPr>
          <w:lang w:val="fr-FR"/>
        </w:rPr>
        <w:t xml:space="preserve">) avait </w:t>
      </w:r>
      <w:r>
        <w:rPr>
          <w:lang w:val="fr-FR"/>
        </w:rPr>
        <w:t>indiqué</w:t>
      </w:r>
      <w:r w:rsidRPr="00790333">
        <w:rPr>
          <w:lang w:val="fr-FR"/>
        </w:rPr>
        <w:t xml:space="preserve"> que la directive n</w:t>
      </w:r>
      <w:r w:rsidRPr="000B2C31">
        <w:rPr>
          <w:vertAlign w:val="superscript"/>
          <w:lang w:val="fr-FR"/>
        </w:rPr>
        <w:t>o</w:t>
      </w:r>
      <w:r w:rsidRPr="00790333">
        <w:rPr>
          <w:lang w:val="fr-FR"/>
        </w:rPr>
        <w:t xml:space="preserve"> 363 du 16 juin 1975 était suffisamment claire dans la mesure où elle </w:t>
      </w:r>
      <w:r>
        <w:rPr>
          <w:lang w:val="fr-FR"/>
        </w:rPr>
        <w:t xml:space="preserve">aurait </w:t>
      </w:r>
      <w:r w:rsidRPr="00790333">
        <w:rPr>
          <w:lang w:val="fr-FR"/>
        </w:rPr>
        <w:t xml:space="preserve">établi le droit du médecin inscrit </w:t>
      </w:r>
      <w:r>
        <w:rPr>
          <w:lang w:val="fr-FR"/>
        </w:rPr>
        <w:t>dans</w:t>
      </w:r>
      <w:r w:rsidRPr="00790333">
        <w:rPr>
          <w:lang w:val="fr-FR"/>
        </w:rPr>
        <w:t xml:space="preserve"> </w:t>
      </w:r>
      <w:r>
        <w:rPr>
          <w:lang w:val="fr-FR"/>
        </w:rPr>
        <w:t>un établissement dispensant des cours</w:t>
      </w:r>
      <w:r w:rsidRPr="00790333">
        <w:rPr>
          <w:lang w:val="fr-FR"/>
        </w:rPr>
        <w:t xml:space="preserve"> de spécialisation de </w:t>
      </w:r>
      <w:r>
        <w:rPr>
          <w:lang w:val="fr-FR"/>
        </w:rPr>
        <w:t>per</w:t>
      </w:r>
      <w:r w:rsidRPr="00790333">
        <w:rPr>
          <w:lang w:val="fr-FR"/>
        </w:rPr>
        <w:t xml:space="preserve">cevoir une </w:t>
      </w:r>
      <w:r w:rsidRPr="0056315F">
        <w:rPr>
          <w:lang w:val="fr-FR"/>
        </w:rPr>
        <w:t>rémunération. L</w:t>
      </w:r>
      <w:r>
        <w:rPr>
          <w:lang w:val="fr-FR"/>
        </w:rPr>
        <w:t>’</w:t>
      </w:r>
      <w:r w:rsidRPr="0056315F">
        <w:rPr>
          <w:lang w:val="fr-FR"/>
        </w:rPr>
        <w:t xml:space="preserve">État </w:t>
      </w:r>
      <w:r>
        <w:rPr>
          <w:lang w:val="fr-FR"/>
        </w:rPr>
        <w:t xml:space="preserve">aurait </w:t>
      </w:r>
      <w:r w:rsidRPr="0056315F">
        <w:rPr>
          <w:lang w:val="fr-FR"/>
        </w:rPr>
        <w:t xml:space="preserve">cependant </w:t>
      </w:r>
      <w:r>
        <w:rPr>
          <w:lang w:val="fr-FR"/>
        </w:rPr>
        <w:t>eu toute latitude</w:t>
      </w:r>
      <w:r w:rsidRPr="0056315F">
        <w:rPr>
          <w:lang w:val="fr-FR"/>
        </w:rPr>
        <w:t xml:space="preserve"> dans la fixation du </w:t>
      </w:r>
      <w:r w:rsidRPr="00123FED">
        <w:rPr>
          <w:lang w:val="fr-FR"/>
        </w:rPr>
        <w:t>montant de celle-ci, dans la détermination de l</w:t>
      </w:r>
      <w:r>
        <w:rPr>
          <w:lang w:val="fr-FR"/>
        </w:rPr>
        <w:t>’</w:t>
      </w:r>
      <w:r w:rsidRPr="00123FED">
        <w:rPr>
          <w:lang w:val="fr-FR"/>
        </w:rPr>
        <w:t>organe compétent pour la</w:t>
      </w:r>
      <w:r w:rsidRPr="00790333">
        <w:rPr>
          <w:lang w:val="fr-FR"/>
        </w:rPr>
        <w:t xml:space="preserve"> verser et dans l</w:t>
      </w:r>
      <w:r>
        <w:rPr>
          <w:lang w:val="fr-FR"/>
        </w:rPr>
        <w:t>’</w:t>
      </w:r>
      <w:r w:rsidRPr="00790333">
        <w:rPr>
          <w:lang w:val="fr-FR"/>
        </w:rPr>
        <w:t xml:space="preserve">établissement des conditions pour en </w:t>
      </w:r>
      <w:r w:rsidRPr="002A21D8">
        <w:rPr>
          <w:lang w:val="fr-FR"/>
        </w:rPr>
        <w:t>bénéficier (notamment s</w:t>
      </w:r>
      <w:r>
        <w:rPr>
          <w:lang w:val="fr-FR"/>
        </w:rPr>
        <w:t>’</w:t>
      </w:r>
      <w:r w:rsidRPr="002A21D8">
        <w:rPr>
          <w:lang w:val="fr-FR"/>
        </w:rPr>
        <w:t>agissant des modalités de la formation). Dès lors, les requérants n</w:t>
      </w:r>
      <w:r>
        <w:rPr>
          <w:lang w:val="fr-FR"/>
        </w:rPr>
        <w:t>’</w:t>
      </w:r>
      <w:r w:rsidRPr="002A21D8">
        <w:rPr>
          <w:lang w:val="fr-FR"/>
        </w:rPr>
        <w:t>auraient pas été titulaires d</w:t>
      </w:r>
      <w:r>
        <w:rPr>
          <w:lang w:val="fr-FR"/>
        </w:rPr>
        <w:t>’</w:t>
      </w:r>
      <w:r w:rsidRPr="002A21D8">
        <w:rPr>
          <w:lang w:val="fr-FR"/>
        </w:rPr>
        <w:t>un droit plein et absolu (</w:t>
      </w:r>
      <w:r w:rsidRPr="002A21D8">
        <w:rPr>
          <w:i/>
          <w:lang w:val="fr-FR"/>
        </w:rPr>
        <w:t>diritto soggettivo</w:t>
      </w:r>
      <w:r w:rsidRPr="002A21D8">
        <w:rPr>
          <w:lang w:val="fr-FR"/>
        </w:rPr>
        <w:t>), mais d</w:t>
      </w:r>
      <w:r>
        <w:rPr>
          <w:lang w:val="fr-FR"/>
        </w:rPr>
        <w:t>’</w:t>
      </w:r>
      <w:r w:rsidRPr="002A21D8">
        <w:rPr>
          <w:lang w:val="fr-FR"/>
        </w:rPr>
        <w:t>un simple intérêt légitime (</w:t>
      </w:r>
      <w:r w:rsidRPr="002A21D8">
        <w:rPr>
          <w:i/>
          <w:lang w:val="fr-FR"/>
        </w:rPr>
        <w:t>interesse legittimo</w:t>
      </w:r>
      <w:r w:rsidRPr="002A21D8">
        <w:rPr>
          <w:lang w:val="fr-FR"/>
        </w:rPr>
        <w:t>), c</w:t>
      </w:r>
      <w:r>
        <w:rPr>
          <w:lang w:val="fr-FR"/>
        </w:rPr>
        <w:t>’</w:t>
      </w:r>
      <w:r w:rsidRPr="002A21D8">
        <w:rPr>
          <w:lang w:val="fr-FR"/>
        </w:rPr>
        <w:t>est-à-dire d</w:t>
      </w:r>
      <w:r>
        <w:rPr>
          <w:lang w:val="fr-FR"/>
        </w:rPr>
        <w:t>’</w:t>
      </w:r>
      <w:r w:rsidRPr="002A21D8">
        <w:rPr>
          <w:lang w:val="fr-FR"/>
        </w:rPr>
        <w:t>une position individuelle protégée de façon indirecte et subordonnée</w:t>
      </w:r>
      <w:r w:rsidRPr="00790333">
        <w:rPr>
          <w:lang w:val="fr-FR"/>
        </w:rPr>
        <w:t xml:space="preserve"> au respect de l</w:t>
      </w:r>
      <w:r>
        <w:rPr>
          <w:lang w:val="fr-FR"/>
        </w:rPr>
        <w:t>’</w:t>
      </w:r>
      <w:r w:rsidRPr="00790333">
        <w:rPr>
          <w:lang w:val="fr-FR"/>
        </w:rPr>
        <w:t xml:space="preserve">intérêt général (voir, par exemple, </w:t>
      </w:r>
      <w:r>
        <w:rPr>
          <w:i/>
          <w:lang w:val="fr-FR"/>
        </w:rPr>
        <w:t>Centro Europa 7 S.r.l. et </w:t>
      </w:r>
      <w:r w:rsidRPr="00790333">
        <w:rPr>
          <w:i/>
          <w:lang w:val="fr-FR"/>
        </w:rPr>
        <w:t>Di Stefano c.</w:t>
      </w:r>
      <w:r>
        <w:rPr>
          <w:i/>
          <w:lang w:val="fr-FR"/>
        </w:rPr>
        <w:t xml:space="preserve"> </w:t>
      </w:r>
      <w:r w:rsidRPr="00790333">
        <w:rPr>
          <w:i/>
          <w:lang w:val="fr-FR"/>
        </w:rPr>
        <w:t>Italie</w:t>
      </w:r>
      <w:r w:rsidRPr="00790333">
        <w:rPr>
          <w:lang w:val="fr-FR"/>
        </w:rPr>
        <w:t xml:space="preserve"> [GC], n</w:t>
      </w:r>
      <w:r w:rsidRPr="000B2C31">
        <w:rPr>
          <w:vertAlign w:val="superscript"/>
          <w:lang w:val="fr-FR"/>
        </w:rPr>
        <w:t>o</w:t>
      </w:r>
      <w:r w:rsidRPr="00790333">
        <w:rPr>
          <w:lang w:val="fr-FR"/>
        </w:rPr>
        <w:t xml:space="preserve"> 38433/09, §</w:t>
      </w:r>
      <w:r>
        <w:rPr>
          <w:lang w:val="fr-FR"/>
        </w:rPr>
        <w:t> </w:t>
      </w:r>
      <w:r w:rsidRPr="00790333">
        <w:rPr>
          <w:lang w:val="fr-FR"/>
        </w:rPr>
        <w:t xml:space="preserve">25, CEDH 2012). </w:t>
      </w:r>
      <w:r>
        <w:rPr>
          <w:lang w:val="fr-FR"/>
        </w:rPr>
        <w:t>Pour le tribunal, c</w:t>
      </w:r>
      <w:r w:rsidRPr="00790333">
        <w:rPr>
          <w:lang w:val="fr-FR"/>
        </w:rPr>
        <w:t xml:space="preserve">ette constatation </w:t>
      </w:r>
      <w:r>
        <w:rPr>
          <w:lang w:val="fr-FR"/>
        </w:rPr>
        <w:t xml:space="preserve">ne suffisait pourtant pas </w:t>
      </w:r>
      <w:r w:rsidRPr="00790333">
        <w:rPr>
          <w:lang w:val="fr-FR"/>
        </w:rPr>
        <w:t>pour écart</w:t>
      </w:r>
      <w:r>
        <w:rPr>
          <w:lang w:val="fr-FR"/>
        </w:rPr>
        <w:t>er</w:t>
      </w:r>
      <w:r w:rsidRPr="00790333">
        <w:rPr>
          <w:lang w:val="fr-FR"/>
        </w:rPr>
        <w:t xml:space="preserve"> la demande des requérants, car la Cour de cassation </w:t>
      </w:r>
      <w:r>
        <w:rPr>
          <w:lang w:val="fr-FR"/>
        </w:rPr>
        <w:t>aurait désormais</w:t>
      </w:r>
      <w:r w:rsidRPr="00790333">
        <w:rPr>
          <w:lang w:val="fr-FR"/>
        </w:rPr>
        <w:t xml:space="preserve"> </w:t>
      </w:r>
      <w:r>
        <w:rPr>
          <w:lang w:val="fr-FR"/>
        </w:rPr>
        <w:t xml:space="preserve">admis </w:t>
      </w:r>
      <w:r w:rsidRPr="00790333">
        <w:rPr>
          <w:lang w:val="fr-FR"/>
        </w:rPr>
        <w:t>que les intérêts légitimes pouvaient donner lieu à un dédommagement (</w:t>
      </w:r>
      <w:r>
        <w:rPr>
          <w:lang w:val="fr-FR"/>
        </w:rPr>
        <w:t>voir, notamment, l’</w:t>
      </w:r>
      <w:r w:rsidRPr="00790333">
        <w:rPr>
          <w:lang w:val="fr-FR"/>
        </w:rPr>
        <w:t>arrêt des sections réunies n</w:t>
      </w:r>
      <w:r w:rsidRPr="000B2C31">
        <w:rPr>
          <w:vertAlign w:val="superscript"/>
          <w:lang w:val="fr-FR"/>
        </w:rPr>
        <w:t>o</w:t>
      </w:r>
      <w:r w:rsidRPr="00790333">
        <w:rPr>
          <w:lang w:val="fr-FR"/>
        </w:rPr>
        <w:t xml:space="preserve"> 500 de 1999).</w:t>
      </w:r>
    </w:p>
    <w:p w:rsidR="001F4B22" w:rsidRPr="009244E2" w:rsidRDefault="001F4B22" w:rsidP="00790333">
      <w:pPr>
        <w:pStyle w:val="ECHRPara"/>
        <w:rPr>
          <w:lang w:val="fr-FR"/>
        </w:rPr>
      </w:pPr>
      <w:r w:rsidRPr="009244E2">
        <w:rPr>
          <w:lang w:val="fr-FR"/>
        </w:rPr>
        <w:fldChar w:fldCharType="begin"/>
      </w:r>
      <w:r w:rsidRPr="009244E2">
        <w:rPr>
          <w:lang w:val="fr-FR"/>
        </w:rPr>
        <w:instrText xml:space="preserve"> SEQ level0 \*arabic </w:instrText>
      </w:r>
      <w:r w:rsidRPr="009244E2">
        <w:rPr>
          <w:lang w:val="fr-FR"/>
        </w:rPr>
        <w:fldChar w:fldCharType="separate"/>
      </w:r>
      <w:r>
        <w:rPr>
          <w:noProof/>
          <w:lang w:val="fr-FR"/>
        </w:rPr>
        <w:t>13</w:t>
      </w:r>
      <w:r w:rsidRPr="009244E2">
        <w:rPr>
          <w:lang w:val="fr-FR"/>
        </w:rPr>
        <w:fldChar w:fldCharType="end"/>
      </w:r>
      <w:r w:rsidRPr="009244E2">
        <w:rPr>
          <w:lang w:val="fr-FR"/>
        </w:rPr>
        <w:t>.  </w:t>
      </w:r>
      <w:r w:rsidRPr="0033215C">
        <w:rPr>
          <w:lang w:val="fr-FR"/>
        </w:rPr>
        <w:t>Toujours selon le tribunal, l</w:t>
      </w:r>
      <w:r w:rsidRPr="009244E2">
        <w:rPr>
          <w:lang w:val="fr-FR"/>
        </w:rPr>
        <w:t>e retard dans la transposition des directives s</w:t>
      </w:r>
      <w:r>
        <w:rPr>
          <w:lang w:val="fr-FR"/>
        </w:rPr>
        <w:t>’</w:t>
      </w:r>
      <w:r w:rsidRPr="009244E2">
        <w:rPr>
          <w:lang w:val="fr-FR"/>
        </w:rPr>
        <w:t xml:space="preserve">analysait en une violation « manifeste et grave » des obligations étatiques ; de plus, </w:t>
      </w:r>
      <w:r w:rsidRPr="0033215C">
        <w:rPr>
          <w:lang w:val="fr-FR"/>
        </w:rPr>
        <w:t>d</w:t>
      </w:r>
      <w:r>
        <w:rPr>
          <w:lang w:val="fr-FR"/>
        </w:rPr>
        <w:t>’</w:t>
      </w:r>
      <w:r w:rsidRPr="0033215C">
        <w:rPr>
          <w:lang w:val="fr-FR"/>
        </w:rPr>
        <w:t xml:space="preserve">après lui, </w:t>
      </w:r>
      <w:r w:rsidRPr="009244E2">
        <w:rPr>
          <w:lang w:val="fr-FR"/>
        </w:rPr>
        <w:t xml:space="preserve">aucune disposition transitoire ne réglementait la situation des médecins ayant commencé </w:t>
      </w:r>
      <w:r w:rsidRPr="0033215C">
        <w:rPr>
          <w:lang w:val="fr-FR"/>
        </w:rPr>
        <w:t>un cursus</w:t>
      </w:r>
      <w:r w:rsidRPr="009244E2">
        <w:rPr>
          <w:lang w:val="fr-FR"/>
        </w:rPr>
        <w:t xml:space="preserve"> de spécialisation avant le 31 décembre 1983, le décret législatif n</w:t>
      </w:r>
      <w:r w:rsidRPr="000B2C31">
        <w:rPr>
          <w:vertAlign w:val="superscript"/>
          <w:lang w:val="fr-FR"/>
        </w:rPr>
        <w:t>o</w:t>
      </w:r>
      <w:r w:rsidRPr="009244E2">
        <w:rPr>
          <w:lang w:val="fr-FR"/>
        </w:rPr>
        <w:t xml:space="preserve"> 257 de 1991 ne s</w:t>
      </w:r>
      <w:r>
        <w:rPr>
          <w:lang w:val="fr-FR"/>
        </w:rPr>
        <w:t>’</w:t>
      </w:r>
      <w:r w:rsidRPr="009244E2">
        <w:rPr>
          <w:lang w:val="fr-FR"/>
        </w:rPr>
        <w:t>appliquant qu</w:t>
      </w:r>
      <w:r>
        <w:rPr>
          <w:lang w:val="fr-FR"/>
        </w:rPr>
        <w:t>’</w:t>
      </w:r>
      <w:r w:rsidRPr="009244E2">
        <w:rPr>
          <w:lang w:val="fr-FR"/>
        </w:rPr>
        <w:t>à partir de l</w:t>
      </w:r>
      <w:r>
        <w:rPr>
          <w:lang w:val="fr-FR"/>
        </w:rPr>
        <w:t>’</w:t>
      </w:r>
      <w:r w:rsidRPr="009244E2">
        <w:rPr>
          <w:lang w:val="fr-FR"/>
        </w:rPr>
        <w:t xml:space="preserve">année universitaire 1991/1992. Le </w:t>
      </w:r>
      <w:r w:rsidRPr="0033215C">
        <w:rPr>
          <w:lang w:val="fr-FR"/>
        </w:rPr>
        <w:t xml:space="preserve">tribunal estimait que le </w:t>
      </w:r>
      <w:r w:rsidRPr="009244E2">
        <w:rPr>
          <w:lang w:val="fr-FR"/>
        </w:rPr>
        <w:t xml:space="preserve">préjudice dénoncé par les requérants </w:t>
      </w:r>
      <w:r>
        <w:rPr>
          <w:lang w:val="fr-FR"/>
        </w:rPr>
        <w:t>résultait donc</w:t>
      </w:r>
      <w:r w:rsidRPr="009244E2">
        <w:rPr>
          <w:lang w:val="fr-FR"/>
        </w:rPr>
        <w:t xml:space="preserve"> </w:t>
      </w:r>
      <w:r>
        <w:rPr>
          <w:lang w:val="fr-FR"/>
        </w:rPr>
        <w:t xml:space="preserve">de </w:t>
      </w:r>
      <w:r w:rsidRPr="009244E2">
        <w:rPr>
          <w:lang w:val="fr-FR"/>
        </w:rPr>
        <w:t>la conduite de l</w:t>
      </w:r>
      <w:r>
        <w:rPr>
          <w:lang w:val="fr-FR"/>
        </w:rPr>
        <w:t>’</w:t>
      </w:r>
      <w:r w:rsidRPr="009244E2">
        <w:rPr>
          <w:lang w:val="fr-FR"/>
        </w:rPr>
        <w:t xml:space="preserve">État et </w:t>
      </w:r>
      <w:r w:rsidRPr="0033215C">
        <w:rPr>
          <w:lang w:val="fr-FR"/>
        </w:rPr>
        <w:t>qu</w:t>
      </w:r>
      <w:r>
        <w:rPr>
          <w:lang w:val="fr-FR"/>
        </w:rPr>
        <w:t>’</w:t>
      </w:r>
      <w:r w:rsidRPr="0033215C">
        <w:rPr>
          <w:lang w:val="fr-FR"/>
        </w:rPr>
        <w:t xml:space="preserve">il </w:t>
      </w:r>
      <w:r w:rsidRPr="009244E2">
        <w:rPr>
          <w:lang w:val="fr-FR"/>
        </w:rPr>
        <w:t>méritait protection.</w:t>
      </w:r>
    </w:p>
    <w:p w:rsidR="001F4B22" w:rsidRPr="009244E2" w:rsidRDefault="001F4B22" w:rsidP="00790333">
      <w:pPr>
        <w:pStyle w:val="ECHRPara"/>
        <w:rPr>
          <w:lang w:val="fr-FR"/>
        </w:rPr>
      </w:pPr>
      <w:r w:rsidRPr="009244E2">
        <w:rPr>
          <w:lang w:val="fr-FR"/>
        </w:rPr>
        <w:fldChar w:fldCharType="begin"/>
      </w:r>
      <w:r w:rsidRPr="009244E2">
        <w:rPr>
          <w:lang w:val="fr-FR"/>
        </w:rPr>
        <w:instrText xml:space="preserve"> SEQ level0 \*arabic </w:instrText>
      </w:r>
      <w:r w:rsidRPr="009244E2">
        <w:rPr>
          <w:lang w:val="fr-FR"/>
        </w:rPr>
        <w:fldChar w:fldCharType="separate"/>
      </w:r>
      <w:r>
        <w:rPr>
          <w:noProof/>
          <w:lang w:val="fr-FR"/>
        </w:rPr>
        <w:t>14</w:t>
      </w:r>
      <w:r w:rsidRPr="009244E2">
        <w:rPr>
          <w:lang w:val="fr-FR"/>
        </w:rPr>
        <w:fldChar w:fldCharType="end"/>
      </w:r>
      <w:r w:rsidRPr="009244E2">
        <w:rPr>
          <w:lang w:val="fr-FR"/>
        </w:rPr>
        <w:t xml:space="preserve">.  Cependant, </w:t>
      </w:r>
      <w:r w:rsidRPr="0033215C">
        <w:rPr>
          <w:lang w:val="fr-FR"/>
        </w:rPr>
        <w:t xml:space="preserve">il indiquait que, </w:t>
      </w:r>
      <w:r>
        <w:rPr>
          <w:lang w:val="fr-FR"/>
        </w:rPr>
        <w:t xml:space="preserve">pour </w:t>
      </w:r>
      <w:r w:rsidRPr="009244E2">
        <w:rPr>
          <w:lang w:val="fr-FR"/>
        </w:rPr>
        <w:t xml:space="preserve">obtenir un dédommagement, les requérants devaient prouver que les </w:t>
      </w:r>
      <w:r w:rsidRPr="0033215C">
        <w:rPr>
          <w:lang w:val="fr-FR"/>
        </w:rPr>
        <w:t>cours</w:t>
      </w:r>
      <w:r w:rsidRPr="009244E2">
        <w:rPr>
          <w:lang w:val="fr-FR"/>
        </w:rPr>
        <w:t xml:space="preserve"> de spécialisation qu</w:t>
      </w:r>
      <w:r>
        <w:rPr>
          <w:lang w:val="fr-FR"/>
        </w:rPr>
        <w:t>’</w:t>
      </w:r>
      <w:r w:rsidRPr="009244E2">
        <w:rPr>
          <w:lang w:val="fr-FR"/>
        </w:rPr>
        <w:t xml:space="preserve">ils avaient </w:t>
      </w:r>
      <w:r w:rsidRPr="0033215C">
        <w:rPr>
          <w:lang w:val="fr-FR"/>
        </w:rPr>
        <w:t xml:space="preserve">suivis </w:t>
      </w:r>
      <w:r w:rsidRPr="009244E2">
        <w:rPr>
          <w:lang w:val="fr-FR"/>
        </w:rPr>
        <w:t>satisfaisaient aux conditions prévues par le droit communautaire et que les diplômes obtenus n</w:t>
      </w:r>
      <w:r>
        <w:rPr>
          <w:lang w:val="fr-FR"/>
        </w:rPr>
        <w:t>’</w:t>
      </w:r>
      <w:r w:rsidRPr="009244E2">
        <w:rPr>
          <w:lang w:val="fr-FR"/>
        </w:rPr>
        <w:t xml:space="preserve">avaient pas été évalués de manière conforme à ce dernier </w:t>
      </w:r>
      <w:r w:rsidRPr="0033215C">
        <w:rPr>
          <w:lang w:val="fr-FR"/>
        </w:rPr>
        <w:t>dans le cadre</w:t>
      </w:r>
      <w:r w:rsidRPr="009244E2">
        <w:rPr>
          <w:lang w:val="fr-FR"/>
        </w:rPr>
        <w:t xml:space="preserve"> des concours pour médecins. </w:t>
      </w:r>
      <w:r w:rsidRPr="0033215C">
        <w:rPr>
          <w:lang w:val="fr-FR"/>
        </w:rPr>
        <w:t>Il concluait que, u</w:t>
      </w:r>
      <w:r w:rsidRPr="009244E2">
        <w:rPr>
          <w:lang w:val="fr-FR"/>
        </w:rPr>
        <w:t>ne telle preuve n</w:t>
      </w:r>
      <w:r>
        <w:rPr>
          <w:lang w:val="fr-FR"/>
        </w:rPr>
        <w:t>’</w:t>
      </w:r>
      <w:r w:rsidRPr="009244E2">
        <w:rPr>
          <w:lang w:val="fr-FR"/>
        </w:rPr>
        <w:t xml:space="preserve">ayant pas été </w:t>
      </w:r>
      <w:r w:rsidRPr="0033215C">
        <w:rPr>
          <w:lang w:val="fr-FR"/>
        </w:rPr>
        <w:t>apportée</w:t>
      </w:r>
      <w:r w:rsidRPr="009244E2">
        <w:rPr>
          <w:lang w:val="fr-FR"/>
        </w:rPr>
        <w:t xml:space="preserve"> en l</w:t>
      </w:r>
      <w:r>
        <w:rPr>
          <w:lang w:val="fr-FR"/>
        </w:rPr>
        <w:t>’</w:t>
      </w:r>
      <w:r w:rsidRPr="009244E2">
        <w:rPr>
          <w:lang w:val="fr-FR"/>
        </w:rPr>
        <w:t xml:space="preserve">espèce, la demande des </w:t>
      </w:r>
      <w:r w:rsidRPr="0033215C">
        <w:rPr>
          <w:lang w:val="fr-FR"/>
        </w:rPr>
        <w:t>intéressés</w:t>
      </w:r>
      <w:r w:rsidRPr="009244E2">
        <w:rPr>
          <w:lang w:val="fr-FR"/>
        </w:rPr>
        <w:t xml:space="preserve"> devait être rejetée.</w:t>
      </w:r>
    </w:p>
    <w:p w:rsidR="001F4B22" w:rsidRDefault="001F4B22" w:rsidP="00986350">
      <w:pPr>
        <w:pStyle w:val="ECHRPara"/>
        <w:rPr>
          <w:lang w:val="fr-FR"/>
        </w:rPr>
      </w:pPr>
      <w:r w:rsidRPr="009244E2">
        <w:rPr>
          <w:lang w:val="fr-FR"/>
        </w:rPr>
        <w:fldChar w:fldCharType="begin"/>
      </w:r>
      <w:r w:rsidRPr="009244E2">
        <w:rPr>
          <w:lang w:val="fr-FR"/>
        </w:rPr>
        <w:instrText xml:space="preserve"> SEQ level0 \*arabic </w:instrText>
      </w:r>
      <w:r w:rsidRPr="009244E2">
        <w:rPr>
          <w:lang w:val="fr-FR"/>
        </w:rPr>
        <w:fldChar w:fldCharType="separate"/>
      </w:r>
      <w:r>
        <w:rPr>
          <w:noProof/>
          <w:lang w:val="fr-FR"/>
        </w:rPr>
        <w:t>15</w:t>
      </w:r>
      <w:r w:rsidRPr="009244E2">
        <w:rPr>
          <w:lang w:val="fr-FR"/>
        </w:rPr>
        <w:fldChar w:fldCharType="end"/>
      </w:r>
      <w:r w:rsidRPr="009244E2">
        <w:rPr>
          <w:lang w:val="fr-FR"/>
        </w:rPr>
        <w:t>.  Les requérants interjetèrent appel de cette décision, soutenant, pour l</w:t>
      </w:r>
      <w:r>
        <w:rPr>
          <w:lang w:val="fr-FR"/>
        </w:rPr>
        <w:t>’</w:t>
      </w:r>
      <w:r w:rsidRPr="009244E2">
        <w:rPr>
          <w:lang w:val="fr-FR"/>
        </w:rPr>
        <w:t>essentiel, qu</w:t>
      </w:r>
      <w:r>
        <w:rPr>
          <w:lang w:val="fr-FR"/>
        </w:rPr>
        <w:t>’</w:t>
      </w:r>
      <w:r w:rsidRPr="009244E2">
        <w:rPr>
          <w:lang w:val="fr-FR"/>
        </w:rPr>
        <w:t>il ne leur incombait pas de prouver l</w:t>
      </w:r>
      <w:r>
        <w:rPr>
          <w:lang w:val="fr-FR"/>
        </w:rPr>
        <w:t>’</w:t>
      </w:r>
      <w:r w:rsidRPr="009244E2">
        <w:rPr>
          <w:lang w:val="fr-FR"/>
        </w:rPr>
        <w:t>existence d</w:t>
      </w:r>
      <w:r>
        <w:rPr>
          <w:lang w:val="fr-FR"/>
        </w:rPr>
        <w:t>’</w:t>
      </w:r>
      <w:r w:rsidRPr="009244E2">
        <w:rPr>
          <w:lang w:val="fr-FR"/>
        </w:rPr>
        <w:t>un préjudice, au motif que celui-ci aurait été une conséquence automatique et nécessaire de la conduite, à leurs yeux négligente, de l</w:t>
      </w:r>
      <w:r>
        <w:rPr>
          <w:lang w:val="fr-FR"/>
        </w:rPr>
        <w:t>’</w:t>
      </w:r>
      <w:r w:rsidRPr="009244E2">
        <w:rPr>
          <w:lang w:val="fr-FR"/>
        </w:rPr>
        <w:t>État (</w:t>
      </w:r>
      <w:r w:rsidRPr="009244E2">
        <w:rPr>
          <w:i/>
          <w:lang w:val="fr-FR"/>
        </w:rPr>
        <w:t>damnum in re ipsa</w:t>
      </w:r>
      <w:r w:rsidRPr="009244E2">
        <w:rPr>
          <w:lang w:val="fr-FR"/>
        </w:rPr>
        <w:t>).</w:t>
      </w:r>
    </w:p>
    <w:p w:rsidR="001F4B22" w:rsidRPr="00790333" w:rsidRDefault="001F4B22" w:rsidP="00790333">
      <w:pPr>
        <w:pStyle w:val="ECHRPara"/>
        <w:rPr>
          <w:lang w:val="fr-FR"/>
        </w:rPr>
      </w:pPr>
      <w:r w:rsidRPr="009244E2">
        <w:rPr>
          <w:lang w:val="fr-FR"/>
        </w:rPr>
        <w:fldChar w:fldCharType="begin"/>
      </w:r>
      <w:r w:rsidRPr="009244E2">
        <w:rPr>
          <w:lang w:val="fr-FR"/>
        </w:rPr>
        <w:instrText xml:space="preserve"> SEQ level0 \*arabic </w:instrText>
      </w:r>
      <w:r w:rsidRPr="009244E2">
        <w:rPr>
          <w:lang w:val="fr-FR"/>
        </w:rPr>
        <w:fldChar w:fldCharType="separate"/>
      </w:r>
      <w:r>
        <w:rPr>
          <w:noProof/>
          <w:lang w:val="fr-FR"/>
        </w:rPr>
        <w:t>16</w:t>
      </w:r>
      <w:r w:rsidRPr="009244E2">
        <w:rPr>
          <w:lang w:val="fr-FR"/>
        </w:rPr>
        <w:fldChar w:fldCharType="end"/>
      </w:r>
      <w:r w:rsidRPr="009244E2">
        <w:rPr>
          <w:lang w:val="fr-FR"/>
        </w:rPr>
        <w:t>.  Par un arrêt du 18 septembre 2003, dont le texte fut déposé au greffe le 6 octobre 2003, la cour d</w:t>
      </w:r>
      <w:r>
        <w:rPr>
          <w:lang w:val="fr-FR"/>
        </w:rPr>
        <w:t>’</w:t>
      </w:r>
      <w:r w:rsidRPr="009244E2">
        <w:rPr>
          <w:lang w:val="fr-FR"/>
        </w:rPr>
        <w:t>appel de Rome rejeta l</w:t>
      </w:r>
      <w:r>
        <w:rPr>
          <w:lang w:val="fr-FR"/>
        </w:rPr>
        <w:t>’</w:t>
      </w:r>
      <w:r w:rsidRPr="009244E2">
        <w:rPr>
          <w:lang w:val="fr-FR"/>
        </w:rPr>
        <w:t>appel des requérants.</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17</w:t>
      </w:r>
      <w:r>
        <w:rPr>
          <w:lang w:val="fr-FR"/>
        </w:rPr>
        <w:fldChar w:fldCharType="end"/>
      </w:r>
      <w:r>
        <w:rPr>
          <w:lang w:val="fr-FR"/>
        </w:rPr>
        <w:t>.  </w:t>
      </w:r>
      <w:r w:rsidRPr="00790333">
        <w:rPr>
          <w:lang w:val="fr-FR"/>
        </w:rPr>
        <w:t>Elle observa</w:t>
      </w:r>
      <w:r>
        <w:rPr>
          <w:lang w:val="fr-FR"/>
        </w:rPr>
        <w:t>it</w:t>
      </w:r>
      <w:r w:rsidRPr="00790333">
        <w:rPr>
          <w:lang w:val="fr-FR"/>
        </w:rPr>
        <w:t xml:space="preserve"> que l</w:t>
      </w:r>
      <w:r>
        <w:rPr>
          <w:lang w:val="fr-FR"/>
        </w:rPr>
        <w:t>’</w:t>
      </w:r>
      <w:r w:rsidRPr="00790333">
        <w:rPr>
          <w:lang w:val="fr-FR"/>
        </w:rPr>
        <w:t>applicabilité immédiate des directives communautaires dans le système juridique national faisait l</w:t>
      </w:r>
      <w:r>
        <w:rPr>
          <w:lang w:val="fr-FR"/>
        </w:rPr>
        <w:t>’</w:t>
      </w:r>
      <w:r w:rsidRPr="00790333">
        <w:rPr>
          <w:lang w:val="fr-FR"/>
        </w:rPr>
        <w:t>objet d</w:t>
      </w:r>
      <w:r>
        <w:rPr>
          <w:lang w:val="fr-FR"/>
        </w:rPr>
        <w:t>’</w:t>
      </w:r>
      <w:r w:rsidRPr="00790333">
        <w:rPr>
          <w:lang w:val="fr-FR"/>
        </w:rPr>
        <w:t xml:space="preserve">un débat jurisprudentiel. </w:t>
      </w:r>
      <w:r>
        <w:rPr>
          <w:lang w:val="fr-FR"/>
        </w:rPr>
        <w:t>Elle indiquait que, p</w:t>
      </w:r>
      <w:r w:rsidRPr="00790333">
        <w:rPr>
          <w:lang w:val="fr-FR"/>
        </w:rPr>
        <w:t xml:space="preserve">ar des arrêts rendus à quelques jours </w:t>
      </w:r>
      <w:r>
        <w:rPr>
          <w:lang w:val="fr-FR"/>
        </w:rPr>
        <w:t>d’intervalle</w:t>
      </w:r>
      <w:r w:rsidRPr="00790333">
        <w:rPr>
          <w:lang w:val="fr-FR"/>
        </w:rPr>
        <w:t xml:space="preserve"> (n</w:t>
      </w:r>
      <w:r w:rsidRPr="000B2C31">
        <w:rPr>
          <w:vertAlign w:val="superscript"/>
          <w:lang w:val="fr-FR"/>
        </w:rPr>
        <w:t>o</w:t>
      </w:r>
      <w:r w:rsidRPr="00790333">
        <w:rPr>
          <w:lang w:val="fr-FR"/>
        </w:rPr>
        <w:t xml:space="preserve"> 4915 du 1</w:t>
      </w:r>
      <w:r w:rsidRPr="00790333">
        <w:rPr>
          <w:vertAlign w:val="superscript"/>
          <w:lang w:val="fr-FR"/>
        </w:rPr>
        <w:t>er</w:t>
      </w:r>
      <w:r w:rsidRPr="00790333">
        <w:rPr>
          <w:lang w:val="fr-FR"/>
        </w:rPr>
        <w:t xml:space="preserve"> avril 2003 et </w:t>
      </w:r>
      <w:r>
        <w:rPr>
          <w:lang w:val="fr-FR"/>
        </w:rPr>
        <w:t>n</w:t>
      </w:r>
      <w:r w:rsidRPr="000B2C31">
        <w:rPr>
          <w:vertAlign w:val="superscript"/>
          <w:lang w:val="fr-FR"/>
        </w:rPr>
        <w:t>o</w:t>
      </w:r>
      <w:r>
        <w:rPr>
          <w:lang w:val="fr-FR"/>
        </w:rPr>
        <w:t> </w:t>
      </w:r>
      <w:r w:rsidRPr="00790333">
        <w:rPr>
          <w:lang w:val="fr-FR"/>
        </w:rPr>
        <w:t>7630 du 16 mai 2003), la troisième section de la Cour de cassation était parvenue à des conclusions opposées sur ce point. Selon la cour d</w:t>
      </w:r>
      <w:r>
        <w:rPr>
          <w:lang w:val="fr-FR"/>
        </w:rPr>
        <w:t>’</w:t>
      </w:r>
      <w:r w:rsidRPr="00790333">
        <w:rPr>
          <w:lang w:val="fr-FR"/>
        </w:rPr>
        <w:t>appel, les directives invoquées par les requérants ne pouvaient pas avoir d</w:t>
      </w:r>
      <w:r>
        <w:rPr>
          <w:lang w:val="fr-FR"/>
        </w:rPr>
        <w:t>’</w:t>
      </w:r>
      <w:r w:rsidRPr="00790333">
        <w:rPr>
          <w:lang w:val="fr-FR"/>
        </w:rPr>
        <w:t xml:space="preserve">application immédiate, </w:t>
      </w:r>
      <w:r>
        <w:rPr>
          <w:lang w:val="fr-FR"/>
        </w:rPr>
        <w:t>au motif qu’</w:t>
      </w:r>
      <w:r w:rsidRPr="00790333">
        <w:rPr>
          <w:lang w:val="fr-FR"/>
        </w:rPr>
        <w:t xml:space="preserve">elles énonçaient le principe de la « rémunération adéquate » sans en fixer le montant. </w:t>
      </w:r>
      <w:r>
        <w:rPr>
          <w:lang w:val="fr-FR"/>
        </w:rPr>
        <w:t>Toujours selon elle, o</w:t>
      </w:r>
      <w:r w:rsidRPr="00790333">
        <w:rPr>
          <w:lang w:val="fr-FR"/>
        </w:rPr>
        <w:t>n ne pouvait pas présumer que ce montant était le même que celui indiqué dans le décret législatif n</w:t>
      </w:r>
      <w:r w:rsidRPr="000B2C31">
        <w:rPr>
          <w:vertAlign w:val="superscript"/>
          <w:lang w:val="fr-FR"/>
        </w:rPr>
        <w:t>o</w:t>
      </w:r>
      <w:r w:rsidRPr="00790333">
        <w:rPr>
          <w:lang w:val="fr-FR"/>
        </w:rPr>
        <w:t xml:space="preserve"> 257 de 1991, </w:t>
      </w:r>
      <w:r>
        <w:rPr>
          <w:lang w:val="fr-FR"/>
        </w:rPr>
        <w:t>lequel</w:t>
      </w:r>
      <w:r w:rsidRPr="00790333">
        <w:rPr>
          <w:lang w:val="fr-FR"/>
        </w:rPr>
        <w:t xml:space="preserve"> ne s</w:t>
      </w:r>
      <w:r>
        <w:rPr>
          <w:lang w:val="fr-FR"/>
        </w:rPr>
        <w:t>’</w:t>
      </w:r>
      <w:r w:rsidRPr="00790333">
        <w:rPr>
          <w:lang w:val="fr-FR"/>
        </w:rPr>
        <w:t>appliqu</w:t>
      </w:r>
      <w:r>
        <w:rPr>
          <w:lang w:val="fr-FR"/>
        </w:rPr>
        <w:t>erait</w:t>
      </w:r>
      <w:r w:rsidRPr="00790333">
        <w:rPr>
          <w:lang w:val="fr-FR"/>
        </w:rPr>
        <w:t xml:space="preserve"> pas de manière rétroactive. </w:t>
      </w:r>
      <w:r>
        <w:rPr>
          <w:lang w:val="fr-FR"/>
        </w:rPr>
        <w:t>L</w:t>
      </w:r>
      <w:r w:rsidRPr="00790333">
        <w:rPr>
          <w:lang w:val="fr-FR"/>
        </w:rPr>
        <w:t>a cour d</w:t>
      </w:r>
      <w:r>
        <w:rPr>
          <w:lang w:val="fr-FR"/>
        </w:rPr>
        <w:t>’</w:t>
      </w:r>
      <w:r w:rsidRPr="00790333">
        <w:rPr>
          <w:lang w:val="fr-FR"/>
        </w:rPr>
        <w:t xml:space="preserve">appel </w:t>
      </w:r>
      <w:r>
        <w:rPr>
          <w:lang w:val="fr-FR"/>
        </w:rPr>
        <w:t>estimait que c</w:t>
      </w:r>
      <w:r w:rsidRPr="00790333">
        <w:rPr>
          <w:lang w:val="fr-FR"/>
        </w:rPr>
        <w:t>ette interprétation était cohérente avec la jurisprudence développée par la Cour de cassation dans une affaire analogue (voir l</w:t>
      </w:r>
      <w:r>
        <w:rPr>
          <w:lang w:val="fr-FR"/>
        </w:rPr>
        <w:t>’</w:t>
      </w:r>
      <w:r w:rsidRPr="00790333">
        <w:rPr>
          <w:lang w:val="fr-FR"/>
        </w:rPr>
        <w:t>arrêt n</w:t>
      </w:r>
      <w:r w:rsidRPr="000B2C31">
        <w:rPr>
          <w:vertAlign w:val="superscript"/>
          <w:lang w:val="fr-FR"/>
        </w:rPr>
        <w:t>o</w:t>
      </w:r>
      <w:r w:rsidRPr="00790333">
        <w:rPr>
          <w:lang w:val="fr-FR"/>
        </w:rPr>
        <w:t xml:space="preserve"> 9842 de </w:t>
      </w:r>
      <w:r w:rsidRPr="00153C6F">
        <w:rPr>
          <w:lang w:val="fr-FR"/>
        </w:rPr>
        <w:t>2002). Elle concluait que, à défaut d</w:t>
      </w:r>
      <w:r>
        <w:rPr>
          <w:lang w:val="fr-FR"/>
        </w:rPr>
        <w:t>’</w:t>
      </w:r>
      <w:r w:rsidRPr="00153C6F">
        <w:rPr>
          <w:lang w:val="fr-FR"/>
        </w:rPr>
        <w:t>une plus grande précision du droit communautaire, aucune responsabilité étatique ne pouvait être retenue pour le retard dans la transposition des directives en cause.</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18</w:t>
      </w:r>
      <w:r>
        <w:rPr>
          <w:lang w:val="fr-FR"/>
        </w:rPr>
        <w:fldChar w:fldCharType="end"/>
      </w:r>
      <w:r>
        <w:rPr>
          <w:lang w:val="fr-FR"/>
        </w:rPr>
        <w:t>.  </w:t>
      </w:r>
      <w:r w:rsidRPr="00790333">
        <w:rPr>
          <w:lang w:val="fr-FR"/>
        </w:rPr>
        <w:t>À titre surabondant, la cour d</w:t>
      </w:r>
      <w:r>
        <w:rPr>
          <w:lang w:val="fr-FR"/>
        </w:rPr>
        <w:t>’</w:t>
      </w:r>
      <w:r w:rsidRPr="00790333">
        <w:rPr>
          <w:lang w:val="fr-FR"/>
        </w:rPr>
        <w:t xml:space="preserve">appel </w:t>
      </w:r>
      <w:r>
        <w:rPr>
          <w:lang w:val="fr-FR"/>
        </w:rPr>
        <w:t>précisait</w:t>
      </w:r>
      <w:r w:rsidRPr="00790333">
        <w:rPr>
          <w:lang w:val="fr-FR"/>
        </w:rPr>
        <w:t xml:space="preserve"> que les requérants n</w:t>
      </w:r>
      <w:r>
        <w:rPr>
          <w:lang w:val="fr-FR"/>
        </w:rPr>
        <w:t>’</w:t>
      </w:r>
      <w:r w:rsidRPr="00790333">
        <w:rPr>
          <w:lang w:val="fr-FR"/>
        </w:rPr>
        <w:t xml:space="preserve">avaient pas produit les documents </w:t>
      </w:r>
      <w:r>
        <w:rPr>
          <w:lang w:val="fr-FR"/>
        </w:rPr>
        <w:t>susceptibles de prouver</w:t>
      </w:r>
      <w:r w:rsidRPr="00790333">
        <w:rPr>
          <w:lang w:val="fr-FR"/>
        </w:rPr>
        <w:t xml:space="preserve"> la durée et l</w:t>
      </w:r>
      <w:r>
        <w:rPr>
          <w:lang w:val="fr-FR"/>
        </w:rPr>
        <w:t>’</w:t>
      </w:r>
      <w:r w:rsidRPr="00790333">
        <w:rPr>
          <w:lang w:val="fr-FR"/>
        </w:rPr>
        <w:t>intensité des cours de spécialisation</w:t>
      </w:r>
      <w:r>
        <w:rPr>
          <w:lang w:val="fr-FR"/>
        </w:rPr>
        <w:t xml:space="preserve"> qu’ils auraient suivis</w:t>
      </w:r>
      <w:r w:rsidRPr="00790333">
        <w:rPr>
          <w:lang w:val="fr-FR"/>
        </w:rPr>
        <w:t>.</w:t>
      </w:r>
    </w:p>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19</w:t>
      </w:r>
      <w:r>
        <w:rPr>
          <w:lang w:val="fr-FR"/>
        </w:rPr>
        <w:fldChar w:fldCharType="end"/>
      </w:r>
      <w:r>
        <w:rPr>
          <w:lang w:val="fr-FR"/>
        </w:rPr>
        <w:t>.  </w:t>
      </w:r>
      <w:r w:rsidRPr="00790333">
        <w:rPr>
          <w:lang w:val="fr-FR"/>
        </w:rPr>
        <w:t xml:space="preserve">Les requérants se pourvurent en cassation. Ils </w:t>
      </w:r>
      <w:r>
        <w:rPr>
          <w:lang w:val="fr-FR"/>
        </w:rPr>
        <w:t>indiquai</w:t>
      </w:r>
      <w:r w:rsidRPr="00790333">
        <w:rPr>
          <w:lang w:val="fr-FR"/>
        </w:rPr>
        <w:t>ent qu</w:t>
      </w:r>
      <w:r>
        <w:rPr>
          <w:lang w:val="fr-FR"/>
        </w:rPr>
        <w:t>’</w:t>
      </w:r>
      <w:r w:rsidRPr="00790333">
        <w:rPr>
          <w:lang w:val="fr-FR"/>
        </w:rPr>
        <w:t>ils n</w:t>
      </w:r>
      <w:r>
        <w:rPr>
          <w:lang w:val="fr-FR"/>
        </w:rPr>
        <w:t>’</w:t>
      </w:r>
      <w:r w:rsidRPr="00790333">
        <w:rPr>
          <w:lang w:val="fr-FR"/>
        </w:rPr>
        <w:t xml:space="preserve">avaient pas demandé le paiement de la rémunération prévue par les directives communautaires, mais </w:t>
      </w:r>
      <w:r>
        <w:rPr>
          <w:lang w:val="fr-FR"/>
        </w:rPr>
        <w:t xml:space="preserve">qu’ils </w:t>
      </w:r>
      <w:r w:rsidRPr="00790333">
        <w:rPr>
          <w:lang w:val="fr-FR"/>
        </w:rPr>
        <w:t>avaient excipé de l</w:t>
      </w:r>
      <w:r>
        <w:rPr>
          <w:lang w:val="fr-FR"/>
        </w:rPr>
        <w:t>’</w:t>
      </w:r>
      <w:r w:rsidRPr="00790333">
        <w:rPr>
          <w:lang w:val="fr-FR"/>
        </w:rPr>
        <w:t>omission de transposer ces directives en droit interne. Dans ces circonstances, il n</w:t>
      </w:r>
      <w:r>
        <w:rPr>
          <w:lang w:val="fr-FR"/>
        </w:rPr>
        <w:t>’</w:t>
      </w:r>
      <w:r w:rsidRPr="00790333">
        <w:rPr>
          <w:lang w:val="fr-FR"/>
        </w:rPr>
        <w:t xml:space="preserve">était pas pertinent </w:t>
      </w:r>
      <w:r>
        <w:rPr>
          <w:lang w:val="fr-FR"/>
        </w:rPr>
        <w:t xml:space="preserve">à leurs yeux </w:t>
      </w:r>
      <w:r w:rsidRPr="00790333">
        <w:rPr>
          <w:lang w:val="fr-FR"/>
        </w:rPr>
        <w:t>de savoir si la directive n</w:t>
      </w:r>
      <w:r w:rsidRPr="000B2C31">
        <w:rPr>
          <w:vertAlign w:val="superscript"/>
          <w:lang w:val="fr-FR"/>
        </w:rPr>
        <w:t>o</w:t>
      </w:r>
      <w:r w:rsidRPr="00790333">
        <w:rPr>
          <w:lang w:val="fr-FR"/>
        </w:rPr>
        <w:t xml:space="preserve"> 363 du 16 juin 1975 </w:t>
      </w:r>
      <w:r>
        <w:rPr>
          <w:lang w:val="fr-FR"/>
        </w:rPr>
        <w:t>était</w:t>
      </w:r>
      <w:r w:rsidRPr="00790333">
        <w:rPr>
          <w:lang w:val="fr-FR"/>
        </w:rPr>
        <w:t xml:space="preserve"> ou non </w:t>
      </w:r>
      <w:r>
        <w:rPr>
          <w:lang w:val="fr-FR"/>
        </w:rPr>
        <w:t>d’</w:t>
      </w:r>
      <w:r w:rsidRPr="00790333">
        <w:rPr>
          <w:lang w:val="fr-FR"/>
        </w:rPr>
        <w:t xml:space="preserve">application immédiate en Italie. </w:t>
      </w:r>
      <w:r>
        <w:rPr>
          <w:lang w:val="fr-FR"/>
        </w:rPr>
        <w:t>Selon les requérants, d</w:t>
      </w:r>
      <w:r w:rsidRPr="00790333">
        <w:rPr>
          <w:lang w:val="fr-FR"/>
        </w:rPr>
        <w:t>ans une affaire analogue concernant un médecin qui n</w:t>
      </w:r>
      <w:r>
        <w:rPr>
          <w:lang w:val="fr-FR"/>
        </w:rPr>
        <w:t>’</w:t>
      </w:r>
      <w:r w:rsidRPr="00790333">
        <w:rPr>
          <w:lang w:val="fr-FR"/>
        </w:rPr>
        <w:t>a</w:t>
      </w:r>
      <w:r>
        <w:rPr>
          <w:lang w:val="fr-FR"/>
        </w:rPr>
        <w:t>ur</w:t>
      </w:r>
      <w:r w:rsidRPr="00790333">
        <w:rPr>
          <w:lang w:val="fr-FR"/>
        </w:rPr>
        <w:t>ait pas eu la possibilité de fréquenter un cours de spécialisation et de recevoir la rémunération y relative, la Cour de cassation avait reconnu l</w:t>
      </w:r>
      <w:r>
        <w:rPr>
          <w:lang w:val="fr-FR"/>
        </w:rPr>
        <w:t>’</w:t>
      </w:r>
      <w:r w:rsidRPr="00790333">
        <w:rPr>
          <w:lang w:val="fr-FR"/>
        </w:rPr>
        <w:t>existence d</w:t>
      </w:r>
      <w:r>
        <w:rPr>
          <w:lang w:val="fr-FR"/>
        </w:rPr>
        <w:t>’</w:t>
      </w:r>
      <w:r w:rsidRPr="00790333">
        <w:rPr>
          <w:lang w:val="fr-FR"/>
        </w:rPr>
        <w:t>une responsabilité de l</w:t>
      </w:r>
      <w:r>
        <w:rPr>
          <w:lang w:val="fr-FR"/>
        </w:rPr>
        <w:t>’</w:t>
      </w:r>
      <w:r w:rsidRPr="00790333">
        <w:rPr>
          <w:lang w:val="fr-FR"/>
        </w:rPr>
        <w:t>État (arrêt de la troisième section, n</w:t>
      </w:r>
      <w:r w:rsidRPr="000B2C31">
        <w:rPr>
          <w:vertAlign w:val="superscript"/>
          <w:lang w:val="fr-FR"/>
        </w:rPr>
        <w:t>o</w:t>
      </w:r>
      <w:r w:rsidRPr="00790333">
        <w:rPr>
          <w:lang w:val="fr-FR"/>
        </w:rPr>
        <w:t xml:space="preserve"> 7630 du 16 mai 2003, précité).</w:t>
      </w:r>
    </w:p>
    <w:p w:rsidR="001F4B22" w:rsidRPr="00153C6F"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20</w:t>
      </w:r>
      <w:r>
        <w:rPr>
          <w:lang w:val="fr-FR"/>
        </w:rPr>
        <w:fldChar w:fldCharType="end"/>
      </w:r>
      <w:r>
        <w:rPr>
          <w:lang w:val="fr-FR"/>
        </w:rPr>
        <w:t>.  </w:t>
      </w:r>
      <w:r w:rsidRPr="00790333">
        <w:rPr>
          <w:lang w:val="fr-FR"/>
        </w:rPr>
        <w:t xml:space="preserve">Les requérants </w:t>
      </w:r>
      <w:r>
        <w:rPr>
          <w:lang w:val="fr-FR"/>
        </w:rPr>
        <w:t>soutenaient</w:t>
      </w:r>
      <w:r w:rsidRPr="00790333">
        <w:rPr>
          <w:lang w:val="fr-FR"/>
        </w:rPr>
        <w:t xml:space="preserve"> également que</w:t>
      </w:r>
      <w:r>
        <w:rPr>
          <w:lang w:val="fr-FR"/>
        </w:rPr>
        <w:t>,</w:t>
      </w:r>
      <w:r w:rsidRPr="00790333">
        <w:rPr>
          <w:lang w:val="fr-FR"/>
        </w:rPr>
        <w:t xml:space="preserve"> </w:t>
      </w:r>
      <w:r>
        <w:rPr>
          <w:lang w:val="fr-FR"/>
        </w:rPr>
        <w:t xml:space="preserve">selon </w:t>
      </w:r>
      <w:r w:rsidRPr="00790333">
        <w:rPr>
          <w:lang w:val="fr-FR"/>
        </w:rPr>
        <w:t xml:space="preserve">la </w:t>
      </w:r>
      <w:r>
        <w:rPr>
          <w:lang w:val="fr-FR"/>
        </w:rPr>
        <w:t>CJCE,</w:t>
      </w:r>
      <w:r w:rsidRPr="00790333">
        <w:rPr>
          <w:lang w:val="fr-FR"/>
        </w:rPr>
        <w:t xml:space="preserve"> l</w:t>
      </w:r>
      <w:r>
        <w:rPr>
          <w:lang w:val="fr-FR"/>
        </w:rPr>
        <w:t>’</w:t>
      </w:r>
      <w:r w:rsidRPr="00790333">
        <w:rPr>
          <w:lang w:val="fr-FR"/>
        </w:rPr>
        <w:t xml:space="preserve">État était </w:t>
      </w:r>
      <w:r w:rsidRPr="00153C6F">
        <w:rPr>
          <w:lang w:val="fr-FR"/>
        </w:rPr>
        <w:t>tenu de dédommager les particuliers : a)  lorsqu</w:t>
      </w:r>
      <w:r>
        <w:rPr>
          <w:lang w:val="fr-FR"/>
        </w:rPr>
        <w:t>’</w:t>
      </w:r>
      <w:r w:rsidRPr="00153C6F">
        <w:rPr>
          <w:lang w:val="fr-FR"/>
        </w:rPr>
        <w:t>une directive, même non directement applicable en droit interne, conférait des droits aux particuliers ; b)  lorsque ces droits pouvaient être identifiés sur la base des dispositions de la directive ; et c)  lorsqu</w:t>
      </w:r>
      <w:r>
        <w:rPr>
          <w:lang w:val="fr-FR"/>
        </w:rPr>
        <w:t>’</w:t>
      </w:r>
      <w:r w:rsidRPr="00153C6F">
        <w:rPr>
          <w:lang w:val="fr-FR"/>
        </w:rPr>
        <w:t>il y avait un lien de causalité entre la violation des obligations de l</w:t>
      </w:r>
      <w:r>
        <w:rPr>
          <w:lang w:val="fr-FR"/>
        </w:rPr>
        <w:t>’</w:t>
      </w:r>
      <w:r w:rsidRPr="00153C6F">
        <w:rPr>
          <w:lang w:val="fr-FR"/>
        </w:rPr>
        <w:t>État et le préjudice subi par les particuliers. Or, selon eux, la cour d</w:t>
      </w:r>
      <w:r>
        <w:rPr>
          <w:lang w:val="fr-FR"/>
        </w:rPr>
        <w:t>’</w:t>
      </w:r>
      <w:r w:rsidRPr="00153C6F">
        <w:rPr>
          <w:lang w:val="fr-FR"/>
        </w:rPr>
        <w:t>appel n</w:t>
      </w:r>
      <w:r>
        <w:rPr>
          <w:lang w:val="fr-FR"/>
        </w:rPr>
        <w:t>’</w:t>
      </w:r>
      <w:r w:rsidRPr="00153C6F">
        <w:rPr>
          <w:lang w:val="fr-FR"/>
        </w:rPr>
        <w:t>aurait pas motivé sa décision relativement à la présence ou à l</w:t>
      </w:r>
      <w:r>
        <w:rPr>
          <w:lang w:val="fr-FR"/>
        </w:rPr>
        <w:t>’</w:t>
      </w:r>
      <w:r w:rsidRPr="00153C6F">
        <w:rPr>
          <w:lang w:val="fr-FR"/>
        </w:rPr>
        <w:t>absence de ces éléments.</w:t>
      </w:r>
    </w:p>
    <w:p w:rsidR="001F4B22" w:rsidRPr="00153C6F" w:rsidRDefault="001F4B22" w:rsidP="00790333">
      <w:pPr>
        <w:pStyle w:val="ECHRPara"/>
        <w:rPr>
          <w:lang w:val="fr-FR"/>
        </w:rPr>
      </w:pPr>
      <w:r w:rsidRPr="00153C6F">
        <w:rPr>
          <w:lang w:val="fr-FR"/>
        </w:rPr>
        <w:fldChar w:fldCharType="begin"/>
      </w:r>
      <w:r w:rsidRPr="00153C6F">
        <w:rPr>
          <w:lang w:val="fr-FR"/>
        </w:rPr>
        <w:instrText xml:space="preserve"> SEQ level0 \*arabic </w:instrText>
      </w:r>
      <w:r w:rsidRPr="00153C6F">
        <w:rPr>
          <w:lang w:val="fr-FR"/>
        </w:rPr>
        <w:fldChar w:fldCharType="separate"/>
      </w:r>
      <w:r>
        <w:rPr>
          <w:noProof/>
          <w:lang w:val="fr-FR"/>
        </w:rPr>
        <w:t>21</w:t>
      </w:r>
      <w:r w:rsidRPr="00153C6F">
        <w:rPr>
          <w:lang w:val="fr-FR"/>
        </w:rPr>
        <w:fldChar w:fldCharType="end"/>
      </w:r>
      <w:r w:rsidRPr="00153C6F">
        <w:rPr>
          <w:lang w:val="fr-FR"/>
        </w:rPr>
        <w:t>.  À l</w:t>
      </w:r>
      <w:r>
        <w:rPr>
          <w:lang w:val="fr-FR"/>
        </w:rPr>
        <w:t>’</w:t>
      </w:r>
      <w:r w:rsidRPr="00153C6F">
        <w:rPr>
          <w:lang w:val="fr-FR"/>
        </w:rPr>
        <w:t>argument de la cour d</w:t>
      </w:r>
      <w:r>
        <w:rPr>
          <w:lang w:val="fr-FR"/>
        </w:rPr>
        <w:t>’</w:t>
      </w:r>
      <w:r w:rsidRPr="00153C6F">
        <w:rPr>
          <w:lang w:val="fr-FR"/>
        </w:rPr>
        <w:t>appel selon lequel ils n</w:t>
      </w:r>
      <w:r>
        <w:rPr>
          <w:lang w:val="fr-FR"/>
        </w:rPr>
        <w:t>’</w:t>
      </w:r>
      <w:r w:rsidRPr="00153C6F">
        <w:rPr>
          <w:lang w:val="fr-FR"/>
        </w:rPr>
        <w:t>avaient pas produit les documents susceptibles de prouver la durée et l</w:t>
      </w:r>
      <w:r>
        <w:rPr>
          <w:lang w:val="fr-FR"/>
        </w:rPr>
        <w:t>’</w:t>
      </w:r>
      <w:r w:rsidRPr="00153C6F">
        <w:rPr>
          <w:lang w:val="fr-FR"/>
        </w:rPr>
        <w:t>intensité des cours de spécialisation suivis, les intéressés répondaient que, selon l</w:t>
      </w:r>
      <w:r>
        <w:rPr>
          <w:lang w:val="fr-FR"/>
        </w:rPr>
        <w:t>’arrêt </w:t>
      </w:r>
      <w:r w:rsidRPr="00153C6F">
        <w:rPr>
          <w:lang w:val="fr-FR"/>
        </w:rPr>
        <w:t>n</w:t>
      </w:r>
      <w:r w:rsidRPr="000B2C31">
        <w:rPr>
          <w:vertAlign w:val="superscript"/>
          <w:lang w:val="fr-FR"/>
        </w:rPr>
        <w:t>o</w:t>
      </w:r>
      <w:r w:rsidRPr="00153C6F">
        <w:rPr>
          <w:lang w:val="fr-FR"/>
        </w:rPr>
        <w:t> 7630 de 2003 (précité), l</w:t>
      </w:r>
      <w:r>
        <w:rPr>
          <w:lang w:val="fr-FR"/>
        </w:rPr>
        <w:t>’</w:t>
      </w:r>
      <w:r w:rsidRPr="00153C6F">
        <w:rPr>
          <w:lang w:val="fr-FR"/>
        </w:rPr>
        <w:t>inertie de l</w:t>
      </w:r>
      <w:r>
        <w:rPr>
          <w:lang w:val="fr-FR"/>
        </w:rPr>
        <w:t>’</w:t>
      </w:r>
      <w:r w:rsidRPr="00153C6F">
        <w:rPr>
          <w:lang w:val="fr-FR"/>
        </w:rPr>
        <w:t>État avait empêché les médecins d</w:t>
      </w:r>
      <w:r>
        <w:rPr>
          <w:lang w:val="fr-FR"/>
        </w:rPr>
        <w:t>’</w:t>
      </w:r>
      <w:r w:rsidRPr="00153C6F">
        <w:rPr>
          <w:lang w:val="fr-FR"/>
        </w:rPr>
        <w:t>apporter cette preuve.</w:t>
      </w:r>
    </w:p>
    <w:p w:rsidR="001F4B22" w:rsidRPr="00790333" w:rsidRDefault="001F4B22" w:rsidP="00790333">
      <w:pPr>
        <w:pStyle w:val="ECHRPara"/>
        <w:rPr>
          <w:lang w:val="fr-FR"/>
        </w:rPr>
      </w:pPr>
      <w:r w:rsidRPr="00153C6F">
        <w:rPr>
          <w:lang w:val="fr-FR"/>
        </w:rPr>
        <w:fldChar w:fldCharType="begin"/>
      </w:r>
      <w:r w:rsidRPr="00153C6F">
        <w:rPr>
          <w:lang w:val="fr-FR"/>
        </w:rPr>
        <w:instrText xml:space="preserve"> SEQ level0 \*arabic </w:instrText>
      </w:r>
      <w:r w:rsidRPr="00153C6F">
        <w:rPr>
          <w:lang w:val="fr-FR"/>
        </w:rPr>
        <w:fldChar w:fldCharType="separate"/>
      </w:r>
      <w:r>
        <w:rPr>
          <w:noProof/>
          <w:lang w:val="fr-FR"/>
        </w:rPr>
        <w:t>22</w:t>
      </w:r>
      <w:r w:rsidRPr="00153C6F">
        <w:rPr>
          <w:lang w:val="fr-FR"/>
        </w:rPr>
        <w:fldChar w:fldCharType="end"/>
      </w:r>
      <w:r w:rsidRPr="00153C6F">
        <w:rPr>
          <w:lang w:val="fr-FR"/>
        </w:rPr>
        <w:t xml:space="preserve">.  Par ailleurs, ils alléguaient que, dans son arrêt </w:t>
      </w:r>
      <w:r w:rsidRPr="00153C6F">
        <w:rPr>
          <w:i/>
          <w:lang w:val="fr-FR"/>
        </w:rPr>
        <w:t>Carbonari</w:t>
      </w:r>
      <w:r w:rsidRPr="00153C6F">
        <w:rPr>
          <w:lang w:val="fr-FR"/>
        </w:rPr>
        <w:t xml:space="preserve"> (précité), la </w:t>
      </w:r>
      <w:r>
        <w:rPr>
          <w:lang w:val="fr-FR"/>
        </w:rPr>
        <w:t>CJCE</w:t>
      </w:r>
      <w:r w:rsidRPr="00153C6F">
        <w:rPr>
          <w:lang w:val="fr-FR"/>
        </w:rPr>
        <w:t xml:space="preserve"> avait affirmé que les particuliers lésés par la non-transposition des directives en question avaient droit à la réparation des dommages, c</w:t>
      </w:r>
      <w:r>
        <w:rPr>
          <w:lang w:val="fr-FR"/>
        </w:rPr>
        <w:t>’</w:t>
      </w:r>
      <w:r w:rsidRPr="00153C6F">
        <w:rPr>
          <w:lang w:val="fr-FR"/>
        </w:rPr>
        <w:t>est-à-dire à des mesures les plaçant, autant que possible, dans la situation dans laquelle ils se seraient trouvés si le droit communautaire n</w:t>
      </w:r>
      <w:r>
        <w:rPr>
          <w:lang w:val="fr-FR"/>
        </w:rPr>
        <w:t>’</w:t>
      </w:r>
      <w:r w:rsidRPr="00153C6F">
        <w:rPr>
          <w:lang w:val="fr-FR"/>
        </w:rPr>
        <w:t>avait pas été méconnu. Ils indiquaient que, dès lors, la seule preuve qu</w:t>
      </w:r>
      <w:r>
        <w:rPr>
          <w:lang w:val="fr-FR"/>
        </w:rPr>
        <w:t>’</w:t>
      </w:r>
      <w:r w:rsidRPr="00153C6F">
        <w:rPr>
          <w:lang w:val="fr-FR"/>
        </w:rPr>
        <w:t>ils pouvaient fournir était celle d</w:t>
      </w:r>
      <w:r>
        <w:rPr>
          <w:lang w:val="fr-FR"/>
        </w:rPr>
        <w:t>’</w:t>
      </w:r>
      <w:r w:rsidRPr="00153C6F">
        <w:rPr>
          <w:lang w:val="fr-FR"/>
        </w:rPr>
        <w:t xml:space="preserve">avoir suivi des cours de spécialisation entre 1982 et 1991. Le préjudice en découlant pour eux aurait été </w:t>
      </w:r>
      <w:r w:rsidRPr="00153C6F">
        <w:rPr>
          <w:i/>
          <w:lang w:val="fr-FR"/>
        </w:rPr>
        <w:t>in re ipsa</w:t>
      </w:r>
      <w:r w:rsidRPr="00153C6F">
        <w:rPr>
          <w:lang w:val="fr-FR"/>
        </w:rPr>
        <w:t xml:space="preserve">. La </w:t>
      </w:r>
      <w:r>
        <w:rPr>
          <w:lang w:val="fr-FR"/>
        </w:rPr>
        <w:t>CJCE</w:t>
      </w:r>
      <w:r w:rsidRPr="00153C6F">
        <w:rPr>
          <w:lang w:val="fr-FR"/>
        </w:rPr>
        <w:t xml:space="preserve"> elle-même (arrêt du 3 octobre 2000, affaire C-371/97, </w:t>
      </w:r>
      <w:r w:rsidRPr="00153C6F">
        <w:rPr>
          <w:i/>
          <w:lang w:val="fr-FR"/>
        </w:rPr>
        <w:t>Gozza</w:t>
      </w:r>
      <w:r w:rsidRPr="00153C6F">
        <w:rPr>
          <w:lang w:val="fr-FR"/>
        </w:rPr>
        <w:t>) aurait précisé que les médecins inscrits dans des établissements de spécialisation avant l</w:t>
      </w:r>
      <w:r>
        <w:rPr>
          <w:lang w:val="fr-FR"/>
        </w:rPr>
        <w:t>’</w:t>
      </w:r>
      <w:r w:rsidRPr="00153C6F">
        <w:rPr>
          <w:lang w:val="fr-FR"/>
        </w:rPr>
        <w:t>année universitaire 1991/1992 avaient suivi une formation conforme aux dispositions communautaires.</w:t>
      </w:r>
    </w:p>
    <w:bookmarkStart w:id="3" w:name="questionprejudiciellerequ"/>
    <w:p w:rsidR="001F4B22" w:rsidRPr="00790333"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23</w:t>
      </w:r>
      <w:r>
        <w:rPr>
          <w:lang w:val="fr-FR"/>
        </w:rPr>
        <w:fldChar w:fldCharType="end"/>
      </w:r>
      <w:bookmarkEnd w:id="3"/>
      <w:r>
        <w:rPr>
          <w:lang w:val="fr-FR"/>
        </w:rPr>
        <w:t>.  </w:t>
      </w:r>
      <w:r w:rsidRPr="00790333">
        <w:rPr>
          <w:lang w:val="fr-FR"/>
        </w:rPr>
        <w:t>À la lumière de</w:t>
      </w:r>
      <w:r>
        <w:rPr>
          <w:lang w:val="fr-FR"/>
        </w:rPr>
        <w:t xml:space="preserve"> ces arguments</w:t>
      </w:r>
      <w:r w:rsidRPr="00790333">
        <w:rPr>
          <w:lang w:val="fr-FR"/>
        </w:rPr>
        <w:t>, les requérants demandaient à la Cour de cassation d</w:t>
      </w:r>
      <w:r>
        <w:rPr>
          <w:lang w:val="fr-FR"/>
        </w:rPr>
        <w:t>’</w:t>
      </w:r>
      <w:r w:rsidRPr="00790333">
        <w:rPr>
          <w:lang w:val="fr-FR"/>
        </w:rPr>
        <w:t>accueillir leur pourvoi. À titre sub</w:t>
      </w:r>
      <w:r>
        <w:rPr>
          <w:lang w:val="fr-FR"/>
        </w:rPr>
        <w:t>sidiaire</w:t>
      </w:r>
      <w:r w:rsidRPr="00790333">
        <w:rPr>
          <w:lang w:val="fr-FR"/>
        </w:rPr>
        <w:t xml:space="preserve">, ils </w:t>
      </w:r>
      <w:r>
        <w:rPr>
          <w:lang w:val="fr-FR"/>
        </w:rPr>
        <w:t xml:space="preserve">lui </w:t>
      </w:r>
      <w:r w:rsidRPr="00790333">
        <w:rPr>
          <w:lang w:val="fr-FR"/>
        </w:rPr>
        <w:t xml:space="preserve">demandaient </w:t>
      </w:r>
      <w:r>
        <w:rPr>
          <w:lang w:val="fr-FR"/>
        </w:rPr>
        <w:t xml:space="preserve">également </w:t>
      </w:r>
      <w:r w:rsidRPr="00790333">
        <w:rPr>
          <w:lang w:val="fr-FR"/>
        </w:rPr>
        <w:t xml:space="preserve">de poser à la </w:t>
      </w:r>
      <w:r>
        <w:rPr>
          <w:lang w:val="fr-FR"/>
        </w:rPr>
        <w:t>CJCE</w:t>
      </w:r>
      <w:r w:rsidRPr="00790333">
        <w:rPr>
          <w:lang w:val="fr-FR"/>
        </w:rPr>
        <w:t xml:space="preserve"> une question préjudicielle </w:t>
      </w:r>
      <w:r>
        <w:rPr>
          <w:lang w:val="fr-FR"/>
        </w:rPr>
        <w:t>afin de savoir</w:t>
      </w:r>
      <w:r w:rsidRPr="00790333">
        <w:rPr>
          <w:lang w:val="fr-FR"/>
        </w:rPr>
        <w:t> : a)</w:t>
      </w:r>
      <w:r>
        <w:rPr>
          <w:lang w:val="fr-FR"/>
        </w:rPr>
        <w:t>  </w:t>
      </w:r>
      <w:r w:rsidRPr="00790333">
        <w:rPr>
          <w:lang w:val="fr-FR"/>
        </w:rPr>
        <w:t>si la non-transposition, par l</w:t>
      </w:r>
      <w:r>
        <w:rPr>
          <w:lang w:val="fr-FR"/>
        </w:rPr>
        <w:t>’</w:t>
      </w:r>
      <w:r w:rsidRPr="00790333">
        <w:rPr>
          <w:lang w:val="fr-FR"/>
        </w:rPr>
        <w:t>État italien, des directives n</w:t>
      </w:r>
      <w:r w:rsidRPr="00790333">
        <w:rPr>
          <w:vertAlign w:val="superscript"/>
          <w:lang w:val="fr-FR"/>
        </w:rPr>
        <w:t>os</w:t>
      </w:r>
      <w:r w:rsidRPr="00790333">
        <w:rPr>
          <w:lang w:val="fr-FR"/>
        </w:rPr>
        <w:t xml:space="preserve"> 363 du 16 juin 1975 et 82 du 26 janvier 1976 dans le délai fixé à cet effet s</w:t>
      </w:r>
      <w:r>
        <w:rPr>
          <w:lang w:val="fr-FR"/>
        </w:rPr>
        <w:t>’</w:t>
      </w:r>
      <w:r w:rsidRPr="00790333">
        <w:rPr>
          <w:lang w:val="fr-FR"/>
        </w:rPr>
        <w:t>analysait en une violation grave et manifeste du droit communautaire, entraînant l</w:t>
      </w:r>
      <w:r>
        <w:rPr>
          <w:lang w:val="fr-FR"/>
        </w:rPr>
        <w:t>’</w:t>
      </w:r>
      <w:r w:rsidRPr="00790333">
        <w:rPr>
          <w:lang w:val="fr-FR"/>
        </w:rPr>
        <w:t>obligation de l</w:t>
      </w:r>
      <w:r>
        <w:rPr>
          <w:lang w:val="fr-FR"/>
        </w:rPr>
        <w:t>’</w:t>
      </w:r>
      <w:r w:rsidRPr="00790333">
        <w:rPr>
          <w:lang w:val="fr-FR"/>
        </w:rPr>
        <w:t>État de réparer le préjudice subi par les personnes lésées ; et b)</w:t>
      </w:r>
      <w:r>
        <w:rPr>
          <w:lang w:val="fr-FR"/>
        </w:rPr>
        <w:t>  </w:t>
      </w:r>
      <w:r w:rsidRPr="00790333">
        <w:rPr>
          <w:lang w:val="fr-FR"/>
        </w:rPr>
        <w:t>si les conditions prévues par le décret législatif n</w:t>
      </w:r>
      <w:r w:rsidRPr="000B2C31">
        <w:rPr>
          <w:vertAlign w:val="superscript"/>
          <w:lang w:val="fr-FR"/>
        </w:rPr>
        <w:t>o</w:t>
      </w:r>
      <w:r w:rsidRPr="00790333">
        <w:rPr>
          <w:lang w:val="fr-FR"/>
        </w:rPr>
        <w:t> 257 de 1991 rendaient</w:t>
      </w:r>
      <w:r>
        <w:rPr>
          <w:lang w:val="fr-FR"/>
        </w:rPr>
        <w:t xml:space="preserve"> l’obtention de ce dédommagement</w:t>
      </w:r>
      <w:r w:rsidRPr="00790333">
        <w:rPr>
          <w:lang w:val="fr-FR"/>
        </w:rPr>
        <w:t xml:space="preserve"> impossible ou excessivement difficile.</w:t>
      </w:r>
    </w:p>
    <w:bookmarkStart w:id="4" w:name="sentenzaccass"/>
    <w:p w:rsidR="001F4B22" w:rsidRPr="00D61264" w:rsidRDefault="001F4B22" w:rsidP="00790333">
      <w:pPr>
        <w:pStyle w:val="ECHRPara"/>
        <w:rPr>
          <w:lang w:val="fr-FR"/>
        </w:rPr>
      </w:pPr>
      <w:r w:rsidRPr="00D61264">
        <w:rPr>
          <w:lang w:val="fr-FR"/>
        </w:rPr>
        <w:fldChar w:fldCharType="begin"/>
      </w:r>
      <w:r w:rsidRPr="00D61264">
        <w:rPr>
          <w:lang w:val="fr-FR"/>
        </w:rPr>
        <w:instrText xml:space="preserve"> SEQ level0 \*arabic </w:instrText>
      </w:r>
      <w:r w:rsidRPr="00D61264">
        <w:rPr>
          <w:lang w:val="fr-FR"/>
        </w:rPr>
        <w:fldChar w:fldCharType="separate"/>
      </w:r>
      <w:r>
        <w:rPr>
          <w:noProof/>
          <w:lang w:val="fr-FR"/>
        </w:rPr>
        <w:t>24</w:t>
      </w:r>
      <w:r w:rsidRPr="00D61264">
        <w:rPr>
          <w:lang w:val="fr-FR"/>
        </w:rPr>
        <w:fldChar w:fldCharType="end"/>
      </w:r>
      <w:bookmarkEnd w:id="4"/>
      <w:r w:rsidRPr="00D61264">
        <w:rPr>
          <w:lang w:val="fr-FR"/>
        </w:rPr>
        <w:t>.  Par un arrêt du 14 novembre 2008, dont le texte fut déposé au greffe le 9 janvier 2009, la Cour de cassation, estimant que la cour d</w:t>
      </w:r>
      <w:r>
        <w:rPr>
          <w:lang w:val="fr-FR"/>
        </w:rPr>
        <w:t>’</w:t>
      </w:r>
      <w:r w:rsidRPr="00D61264">
        <w:rPr>
          <w:lang w:val="fr-FR"/>
        </w:rPr>
        <w:t>appel avait motivé de manière logique et correcte tous les points controversés, débouta les requérants de leur pourvoi.</w:t>
      </w:r>
    </w:p>
    <w:bookmarkStart w:id="5" w:name="Ccassdroitareparation"/>
    <w:p w:rsidR="001F4B22" w:rsidRDefault="001F4B22" w:rsidP="00790333">
      <w:pPr>
        <w:pStyle w:val="ECHRPara"/>
        <w:rPr>
          <w:lang w:val="fr-FR"/>
        </w:rPr>
      </w:pPr>
      <w:r w:rsidRPr="00D61264">
        <w:rPr>
          <w:lang w:val="fr-FR"/>
        </w:rPr>
        <w:fldChar w:fldCharType="begin"/>
      </w:r>
      <w:r w:rsidRPr="00D61264">
        <w:rPr>
          <w:lang w:val="fr-FR"/>
        </w:rPr>
        <w:instrText xml:space="preserve"> SEQ level0 \*arabic </w:instrText>
      </w:r>
      <w:r w:rsidRPr="00D61264">
        <w:rPr>
          <w:lang w:val="fr-FR"/>
        </w:rPr>
        <w:fldChar w:fldCharType="separate"/>
      </w:r>
      <w:r>
        <w:rPr>
          <w:noProof/>
          <w:lang w:val="fr-FR"/>
        </w:rPr>
        <w:t>25</w:t>
      </w:r>
      <w:r w:rsidRPr="00D61264">
        <w:rPr>
          <w:lang w:val="fr-FR"/>
        </w:rPr>
        <w:fldChar w:fldCharType="end"/>
      </w:r>
      <w:bookmarkEnd w:id="5"/>
      <w:r w:rsidRPr="00D61264">
        <w:rPr>
          <w:lang w:val="fr-FR"/>
        </w:rPr>
        <w:t>.  Elle réitérait l</w:t>
      </w:r>
      <w:r>
        <w:rPr>
          <w:lang w:val="fr-FR"/>
        </w:rPr>
        <w:t>’</w:t>
      </w:r>
      <w:r w:rsidRPr="00D61264">
        <w:rPr>
          <w:lang w:val="fr-FR"/>
        </w:rPr>
        <w:t>affirmation de la cour d</w:t>
      </w:r>
      <w:r>
        <w:rPr>
          <w:lang w:val="fr-FR"/>
        </w:rPr>
        <w:t>’</w:t>
      </w:r>
      <w:r w:rsidRPr="00D61264">
        <w:rPr>
          <w:lang w:val="fr-FR"/>
        </w:rPr>
        <w:t>appel selon laquelle les directives n</w:t>
      </w:r>
      <w:r w:rsidRPr="00D61264">
        <w:rPr>
          <w:vertAlign w:val="superscript"/>
          <w:lang w:val="fr-FR"/>
        </w:rPr>
        <w:t>os</w:t>
      </w:r>
      <w:r w:rsidRPr="00D61264">
        <w:rPr>
          <w:lang w:val="fr-FR"/>
        </w:rPr>
        <w:t xml:space="preserve"> 363 du 16 juin 1975 et 82 du 26 janvier 1976 n</w:t>
      </w:r>
      <w:r>
        <w:rPr>
          <w:lang w:val="fr-FR"/>
        </w:rPr>
        <w:t>’</w:t>
      </w:r>
      <w:r w:rsidRPr="00D61264">
        <w:rPr>
          <w:lang w:val="fr-FR"/>
        </w:rPr>
        <w:t>avaient pas d</w:t>
      </w:r>
      <w:r>
        <w:rPr>
          <w:lang w:val="fr-FR"/>
        </w:rPr>
        <w:t>’</w:t>
      </w:r>
      <w:r w:rsidRPr="00D61264">
        <w:rPr>
          <w:lang w:val="fr-FR"/>
        </w:rPr>
        <w:t>application directe en Italie au motif qu</w:t>
      </w:r>
      <w:r>
        <w:rPr>
          <w:lang w:val="fr-FR"/>
        </w:rPr>
        <w:t>’</w:t>
      </w:r>
      <w:r w:rsidRPr="00D61264">
        <w:rPr>
          <w:lang w:val="fr-FR"/>
        </w:rPr>
        <w:t xml:space="preserve">elles ne fixaient pas le montant de la « rémunération adéquate ». Elle indiquait ensuite que le retard dans la transposition de ces directives faisait </w:t>
      </w:r>
      <w:r>
        <w:rPr>
          <w:lang w:val="fr-FR"/>
        </w:rPr>
        <w:t>naître</w:t>
      </w:r>
      <w:r w:rsidRPr="00D61264">
        <w:rPr>
          <w:lang w:val="fr-FR"/>
        </w:rPr>
        <w:t xml:space="preserve">, selon la jurisprudence de la </w:t>
      </w:r>
      <w:r>
        <w:rPr>
          <w:lang w:val="fr-FR"/>
        </w:rPr>
        <w:t>CJCE</w:t>
      </w:r>
      <w:r w:rsidRPr="00D61264">
        <w:rPr>
          <w:lang w:val="fr-FR"/>
        </w:rPr>
        <w:t>, le droit à la réparation des dommages subis par les particuliers. Ces dommages auraient consisté en la perte de chances d</w:t>
      </w:r>
      <w:r>
        <w:rPr>
          <w:lang w:val="fr-FR"/>
        </w:rPr>
        <w:t>’</w:t>
      </w:r>
      <w:r w:rsidRPr="00D61264">
        <w:rPr>
          <w:lang w:val="fr-FR"/>
        </w:rPr>
        <w:t>obtenir les bénéfices prévus par les directives en question (voir, notamment, Cour de cassation, arrêts n</w:t>
      </w:r>
      <w:r w:rsidRPr="000B2C31">
        <w:rPr>
          <w:vertAlign w:val="superscript"/>
          <w:lang w:val="fr-FR"/>
        </w:rPr>
        <w:t>o</w:t>
      </w:r>
      <w:r w:rsidRPr="00D61264">
        <w:rPr>
          <w:lang w:val="fr-FR"/>
        </w:rPr>
        <w:t> 3283 du 12 février 2008 et n</w:t>
      </w:r>
      <w:r w:rsidRPr="000B2C31">
        <w:rPr>
          <w:vertAlign w:val="superscript"/>
          <w:lang w:val="fr-FR"/>
        </w:rPr>
        <w:t>o</w:t>
      </w:r>
      <w:r w:rsidRPr="00D61264">
        <w:rPr>
          <w:lang w:val="fr-FR"/>
        </w:rPr>
        <w:t> 6427 du 11 mars 2008).</w:t>
      </w:r>
    </w:p>
    <w:bookmarkStart w:id="6" w:name="CCasspasdommagespecifique"/>
    <w:p w:rsidR="001F4B22" w:rsidRPr="00790333" w:rsidRDefault="001F4B22" w:rsidP="00790333">
      <w:pPr>
        <w:pStyle w:val="ECHRPara"/>
        <w:rPr>
          <w:lang w:val="fr-FR"/>
        </w:rPr>
      </w:pPr>
      <w:r w:rsidRPr="00D61264">
        <w:rPr>
          <w:lang w:val="fr-FR"/>
        </w:rPr>
        <w:fldChar w:fldCharType="begin"/>
      </w:r>
      <w:r w:rsidRPr="00D61264">
        <w:rPr>
          <w:lang w:val="fr-FR"/>
        </w:rPr>
        <w:instrText xml:space="preserve"> SEQ level0 \*arabic </w:instrText>
      </w:r>
      <w:r w:rsidRPr="00D61264">
        <w:rPr>
          <w:lang w:val="fr-FR"/>
        </w:rPr>
        <w:fldChar w:fldCharType="separate"/>
      </w:r>
      <w:r>
        <w:rPr>
          <w:noProof/>
          <w:lang w:val="fr-FR"/>
        </w:rPr>
        <w:t>26</w:t>
      </w:r>
      <w:r w:rsidRPr="00D61264">
        <w:rPr>
          <w:lang w:val="fr-FR"/>
        </w:rPr>
        <w:fldChar w:fldCharType="end"/>
      </w:r>
      <w:bookmarkEnd w:id="6"/>
      <w:r w:rsidRPr="00D61264">
        <w:rPr>
          <w:lang w:val="fr-FR"/>
        </w:rPr>
        <w:t>.  </w:t>
      </w:r>
      <w:r>
        <w:rPr>
          <w:lang w:val="fr-FR"/>
        </w:rPr>
        <w:t>La Cour de cassation</w:t>
      </w:r>
      <w:r w:rsidRPr="00D61264">
        <w:rPr>
          <w:lang w:val="fr-FR"/>
        </w:rPr>
        <w:t xml:space="preserve"> notait que les requérants n</w:t>
      </w:r>
      <w:r>
        <w:rPr>
          <w:lang w:val="fr-FR"/>
        </w:rPr>
        <w:t>’</w:t>
      </w:r>
      <w:r w:rsidRPr="00D61264">
        <w:rPr>
          <w:lang w:val="fr-FR"/>
        </w:rPr>
        <w:t>avaient pas demandé au juge d</w:t>
      </w:r>
      <w:r>
        <w:rPr>
          <w:lang w:val="fr-FR"/>
        </w:rPr>
        <w:t>’</w:t>
      </w:r>
      <w:r w:rsidRPr="00D61264">
        <w:rPr>
          <w:lang w:val="fr-FR"/>
        </w:rPr>
        <w:t>appel la réparation de ce dommage spécifique, mais qu</w:t>
      </w:r>
      <w:r>
        <w:rPr>
          <w:lang w:val="fr-FR"/>
        </w:rPr>
        <w:t>’</w:t>
      </w:r>
      <w:r w:rsidRPr="00D61264">
        <w:rPr>
          <w:lang w:val="fr-FR"/>
        </w:rPr>
        <w:t xml:space="preserve">ils avaient soutenu que le préjudice découlant du retard incriminé était </w:t>
      </w:r>
      <w:r w:rsidRPr="00D61264">
        <w:rPr>
          <w:i/>
          <w:lang w:val="fr-FR"/>
        </w:rPr>
        <w:t xml:space="preserve">in re ipsa </w:t>
      </w:r>
      <w:r w:rsidRPr="00D61264">
        <w:rPr>
          <w:lang w:val="fr-FR"/>
        </w:rPr>
        <w:t>et que le décret législatif n</w:t>
      </w:r>
      <w:r w:rsidRPr="000B2C31">
        <w:rPr>
          <w:vertAlign w:val="superscript"/>
          <w:lang w:val="fr-FR"/>
        </w:rPr>
        <w:t>o</w:t>
      </w:r>
      <w:r w:rsidRPr="00D61264">
        <w:rPr>
          <w:lang w:val="fr-FR"/>
        </w:rPr>
        <w:t> 257 de 1991 avait créé une discrimination entre les médecins qui avaient suivi des cours de spécialisation avant son entrée en vigueur et ceux qui les avaient suivis après celle-ci. Elle estimait que la cour d</w:t>
      </w:r>
      <w:r>
        <w:rPr>
          <w:lang w:val="fr-FR"/>
        </w:rPr>
        <w:t>’</w:t>
      </w:r>
      <w:r w:rsidRPr="00D61264">
        <w:rPr>
          <w:lang w:val="fr-FR"/>
        </w:rPr>
        <w:t xml:space="preserve">appel avait motivé </w:t>
      </w:r>
      <w:r w:rsidRPr="0033215C">
        <w:rPr>
          <w:lang w:val="fr-FR"/>
        </w:rPr>
        <w:t>sa décision relativement</w:t>
      </w:r>
      <w:r w:rsidRPr="00D61264">
        <w:rPr>
          <w:lang w:val="fr-FR"/>
        </w:rPr>
        <w:t xml:space="preserve"> à ces questions. Elle admettait que sa motivation aurait été insuffisante s</w:t>
      </w:r>
      <w:r>
        <w:rPr>
          <w:lang w:val="fr-FR"/>
        </w:rPr>
        <w:t>’</w:t>
      </w:r>
      <w:r w:rsidRPr="00D61264">
        <w:rPr>
          <w:lang w:val="fr-FR"/>
        </w:rPr>
        <w:t>il s</w:t>
      </w:r>
      <w:r>
        <w:rPr>
          <w:lang w:val="fr-FR"/>
        </w:rPr>
        <w:t>’</w:t>
      </w:r>
      <w:r w:rsidRPr="00D61264">
        <w:rPr>
          <w:lang w:val="fr-FR"/>
        </w:rPr>
        <w:t>était agi d</w:t>
      </w:r>
      <w:r>
        <w:rPr>
          <w:lang w:val="fr-FR"/>
        </w:rPr>
        <w:t>’</w:t>
      </w:r>
      <w:r w:rsidRPr="00D61264">
        <w:rPr>
          <w:lang w:val="fr-FR"/>
        </w:rPr>
        <w:t>un grief tiré de la perte de</w:t>
      </w:r>
      <w:r w:rsidRPr="00790333">
        <w:rPr>
          <w:lang w:val="fr-FR"/>
        </w:rPr>
        <w:t xml:space="preserve"> chances d</w:t>
      </w:r>
      <w:r>
        <w:rPr>
          <w:lang w:val="fr-FR"/>
        </w:rPr>
        <w:t>’</w:t>
      </w:r>
      <w:r w:rsidRPr="00790333">
        <w:rPr>
          <w:lang w:val="fr-FR"/>
        </w:rPr>
        <w:t xml:space="preserve">obtenir les </w:t>
      </w:r>
      <w:r w:rsidRPr="00AC728D">
        <w:rPr>
          <w:lang w:val="fr-FR"/>
        </w:rPr>
        <w:t xml:space="preserve">bénéfices en question, </w:t>
      </w:r>
      <w:r w:rsidRPr="0033215C">
        <w:rPr>
          <w:lang w:val="fr-FR"/>
        </w:rPr>
        <w:t>mais que ce</w:t>
      </w:r>
      <w:r w:rsidRPr="00AC728D">
        <w:rPr>
          <w:lang w:val="fr-FR"/>
        </w:rPr>
        <w:t xml:space="preserve"> n</w:t>
      </w:r>
      <w:r>
        <w:rPr>
          <w:lang w:val="fr-FR"/>
        </w:rPr>
        <w:t>’</w:t>
      </w:r>
      <w:r w:rsidRPr="00AC728D">
        <w:rPr>
          <w:lang w:val="fr-FR"/>
        </w:rPr>
        <w:t>était pas le</w:t>
      </w:r>
      <w:r w:rsidRPr="0033215C">
        <w:rPr>
          <w:lang w:val="fr-FR"/>
        </w:rPr>
        <w:t xml:space="preserve"> cas du</w:t>
      </w:r>
      <w:r w:rsidRPr="00AC728D">
        <w:rPr>
          <w:lang w:val="fr-FR"/>
        </w:rPr>
        <w:t xml:space="preserve"> grief des requérants</w:t>
      </w:r>
      <w:r w:rsidRPr="00790333">
        <w:rPr>
          <w:lang w:val="fr-FR"/>
        </w:rPr>
        <w:t xml:space="preserve"> devant la cour d</w:t>
      </w:r>
      <w:r>
        <w:rPr>
          <w:lang w:val="fr-FR"/>
        </w:rPr>
        <w:t>’</w:t>
      </w:r>
      <w:r w:rsidRPr="00790333">
        <w:rPr>
          <w:lang w:val="fr-FR"/>
        </w:rPr>
        <w:t>appel.</w:t>
      </w:r>
    </w:p>
    <w:bookmarkStart w:id="7" w:name="questionprejudiciellenorefCcass"/>
    <w:p w:rsidR="001F4B22"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27</w:t>
      </w:r>
      <w:r>
        <w:rPr>
          <w:lang w:val="fr-FR"/>
        </w:rPr>
        <w:fldChar w:fldCharType="end"/>
      </w:r>
      <w:bookmarkEnd w:id="7"/>
      <w:r>
        <w:rPr>
          <w:lang w:val="fr-FR"/>
        </w:rPr>
        <w:t>.  </w:t>
      </w:r>
      <w:r w:rsidRPr="00790333">
        <w:rPr>
          <w:lang w:val="fr-FR"/>
        </w:rPr>
        <w:t>L</w:t>
      </w:r>
      <w:r>
        <w:rPr>
          <w:lang w:val="fr-FR"/>
        </w:rPr>
        <w:t>’</w:t>
      </w:r>
      <w:r w:rsidRPr="00790333">
        <w:rPr>
          <w:lang w:val="fr-FR"/>
        </w:rPr>
        <w:t>arrêt de la Cour de cassation ne cont</w:t>
      </w:r>
      <w:r>
        <w:rPr>
          <w:lang w:val="fr-FR"/>
        </w:rPr>
        <w:t>enait</w:t>
      </w:r>
      <w:r w:rsidRPr="00790333">
        <w:rPr>
          <w:lang w:val="fr-FR"/>
        </w:rPr>
        <w:t xml:space="preserve"> aucune référence à la question préjudicielle que les requérants avaient soulevée à titre sub</w:t>
      </w:r>
      <w:r>
        <w:rPr>
          <w:lang w:val="fr-FR"/>
        </w:rPr>
        <w:t>sidiaire</w:t>
      </w:r>
      <w:r w:rsidRPr="00790333">
        <w:rPr>
          <w:lang w:val="fr-FR"/>
        </w:rPr>
        <w:t>.</w:t>
      </w:r>
    </w:p>
    <w:p w:rsidR="001F4B22"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28</w:t>
      </w:r>
      <w:r>
        <w:rPr>
          <w:lang w:val="fr-FR"/>
        </w:rPr>
        <w:fldChar w:fldCharType="end"/>
      </w:r>
      <w:r>
        <w:rPr>
          <w:lang w:val="fr-FR"/>
        </w:rPr>
        <w:t xml:space="preserve">.  Le 19 janvier 2009, le greffe de la Cour de cassation informa le représentant des requérants que la motivation de l’arrêt du </w:t>
      </w:r>
      <w:r w:rsidRPr="00790333">
        <w:rPr>
          <w:lang w:val="fr-FR"/>
        </w:rPr>
        <w:t>14</w:t>
      </w:r>
      <w:r>
        <w:rPr>
          <w:lang w:val="fr-FR"/>
        </w:rPr>
        <w:t> </w:t>
      </w:r>
      <w:r w:rsidRPr="00790333">
        <w:rPr>
          <w:lang w:val="fr-FR"/>
        </w:rPr>
        <w:t>novembre 2008</w:t>
      </w:r>
      <w:r>
        <w:rPr>
          <w:lang w:val="fr-FR"/>
        </w:rPr>
        <w:t xml:space="preserve"> avait été déposée et qu’elle pouvait être consultée.</w:t>
      </w:r>
    </w:p>
    <w:p w:rsidR="001F4B22" w:rsidRDefault="001F4B22" w:rsidP="006B5462">
      <w:pPr>
        <w:pStyle w:val="ECHRHeading1"/>
        <w:rPr>
          <w:lang w:val="fr-FR"/>
        </w:rPr>
      </w:pPr>
      <w:r w:rsidRPr="006B5462">
        <w:rPr>
          <w:lang w:val="fr-FR"/>
        </w:rPr>
        <w:t>I</w:t>
      </w:r>
      <w:r>
        <w:rPr>
          <w:lang w:val="fr-FR"/>
        </w:rPr>
        <w:t>I.  LE DROIT INTERNE ET LE DROIT EUROPÉEN PERTINENTS</w:t>
      </w:r>
    </w:p>
    <w:p w:rsidR="001F4B22" w:rsidRDefault="001F4B22" w:rsidP="00897A21">
      <w:pPr>
        <w:pStyle w:val="ECHRHeading2"/>
        <w:rPr>
          <w:lang w:val="fr-FR"/>
        </w:rPr>
      </w:pPr>
      <w:r>
        <w:rPr>
          <w:lang w:val="fr-FR"/>
        </w:rPr>
        <w:t>A.  Les dispositions en matière de réparation des dommages causés dans l’exercice des fonctions juridictionnelles</w:t>
      </w:r>
    </w:p>
    <w:bookmarkStart w:id="8" w:name="legge117dell881"/>
    <w:p w:rsidR="001F4B22" w:rsidRDefault="001F4B22" w:rsidP="006A7230">
      <w:pPr>
        <w:pStyle w:val="ECHRPara"/>
        <w:rPr>
          <w:rFonts w:eastAsia="Times New Roman"/>
          <w:szCs w:val="24"/>
          <w:lang w:val="fr-FR"/>
        </w:rPr>
      </w:pPr>
      <w:r w:rsidRPr="006A7230">
        <w:rPr>
          <w:szCs w:val="24"/>
          <w:lang w:val="fr-FR"/>
        </w:rPr>
        <w:fldChar w:fldCharType="begin"/>
      </w:r>
      <w:r w:rsidRPr="006A7230">
        <w:rPr>
          <w:szCs w:val="24"/>
          <w:lang w:val="fr-FR"/>
        </w:rPr>
        <w:instrText xml:space="preserve"> SEQ level0 \*arabic </w:instrText>
      </w:r>
      <w:r w:rsidRPr="006A7230">
        <w:rPr>
          <w:szCs w:val="24"/>
          <w:lang w:val="fr-FR"/>
        </w:rPr>
        <w:fldChar w:fldCharType="separate"/>
      </w:r>
      <w:r>
        <w:rPr>
          <w:noProof/>
          <w:szCs w:val="24"/>
          <w:lang w:val="fr-FR"/>
        </w:rPr>
        <w:t>29</w:t>
      </w:r>
      <w:r w:rsidRPr="006A7230">
        <w:rPr>
          <w:szCs w:val="24"/>
          <w:lang w:val="fr-FR"/>
        </w:rPr>
        <w:fldChar w:fldCharType="end"/>
      </w:r>
      <w:bookmarkEnd w:id="8"/>
      <w:r w:rsidRPr="006A7230">
        <w:rPr>
          <w:szCs w:val="24"/>
          <w:lang w:val="fr-FR"/>
        </w:rPr>
        <w:t>.  </w:t>
      </w:r>
      <w:r>
        <w:rPr>
          <w:rFonts w:eastAsia="Times New Roman"/>
          <w:szCs w:val="24"/>
          <w:lang w:val="fr-FR"/>
        </w:rPr>
        <w:t>L’</w:t>
      </w:r>
      <w:r w:rsidRPr="006A7230">
        <w:rPr>
          <w:rFonts w:eastAsia="Times New Roman"/>
          <w:szCs w:val="24"/>
          <w:lang w:val="fr-FR"/>
        </w:rPr>
        <w:t xml:space="preserve">article </w:t>
      </w:r>
      <w:r>
        <w:rPr>
          <w:rFonts w:eastAsia="Times New Roman"/>
          <w:szCs w:val="24"/>
          <w:lang w:val="fr-FR"/>
        </w:rPr>
        <w:t>2</w:t>
      </w:r>
      <w:r w:rsidRPr="006A7230">
        <w:rPr>
          <w:rFonts w:eastAsia="Times New Roman"/>
          <w:szCs w:val="24"/>
          <w:lang w:val="fr-FR"/>
        </w:rPr>
        <w:t xml:space="preserve"> de la loi n</w:t>
      </w:r>
      <w:r w:rsidRPr="000B2C31">
        <w:rPr>
          <w:rFonts w:eastAsia="Times New Roman"/>
          <w:szCs w:val="24"/>
          <w:vertAlign w:val="superscript"/>
          <w:lang w:val="fr-FR"/>
        </w:rPr>
        <w:t>o</w:t>
      </w:r>
      <w:r>
        <w:rPr>
          <w:rFonts w:eastAsia="Times New Roman"/>
          <w:szCs w:val="24"/>
          <w:lang w:val="fr-FR"/>
        </w:rPr>
        <w:t> </w:t>
      </w:r>
      <w:r w:rsidRPr="006A7230">
        <w:rPr>
          <w:rFonts w:eastAsia="Times New Roman"/>
          <w:szCs w:val="24"/>
          <w:lang w:val="fr-FR"/>
        </w:rPr>
        <w:t>117 du 13 avril 1988</w:t>
      </w:r>
      <w:r>
        <w:rPr>
          <w:rFonts w:eastAsia="Times New Roman"/>
          <w:szCs w:val="24"/>
          <w:lang w:val="fr-FR"/>
        </w:rPr>
        <w:t xml:space="preserve"> relatif à</w:t>
      </w:r>
      <w:r w:rsidRPr="006A7230">
        <w:rPr>
          <w:rFonts w:eastAsia="Times New Roman"/>
          <w:szCs w:val="24"/>
          <w:lang w:val="fr-FR"/>
        </w:rPr>
        <w:t xml:space="preserve"> la</w:t>
      </w:r>
      <w:r>
        <w:rPr>
          <w:rFonts w:eastAsia="Times New Roman"/>
          <w:szCs w:val="24"/>
          <w:lang w:val="fr-FR"/>
        </w:rPr>
        <w:t xml:space="preserve"> </w:t>
      </w:r>
      <w:r w:rsidRPr="006A7230">
        <w:rPr>
          <w:rFonts w:eastAsia="Times New Roman"/>
          <w:szCs w:val="24"/>
          <w:lang w:val="fr-FR"/>
        </w:rPr>
        <w:t>réparation des dommages causés dans l</w:t>
      </w:r>
      <w:r>
        <w:rPr>
          <w:rFonts w:eastAsia="Times New Roman"/>
          <w:szCs w:val="24"/>
          <w:lang w:val="fr-FR"/>
        </w:rPr>
        <w:t>’</w:t>
      </w:r>
      <w:r w:rsidRPr="006A7230">
        <w:rPr>
          <w:rFonts w:eastAsia="Times New Roman"/>
          <w:szCs w:val="24"/>
          <w:lang w:val="fr-FR"/>
        </w:rPr>
        <w:t xml:space="preserve">exercice des fonctions juridictionnelles et </w:t>
      </w:r>
      <w:r>
        <w:rPr>
          <w:rFonts w:eastAsia="Times New Roman"/>
          <w:szCs w:val="24"/>
          <w:lang w:val="fr-FR"/>
        </w:rPr>
        <w:t xml:space="preserve">à </w:t>
      </w:r>
      <w:r w:rsidRPr="006A7230">
        <w:rPr>
          <w:rFonts w:eastAsia="Times New Roman"/>
          <w:szCs w:val="24"/>
          <w:lang w:val="fr-FR"/>
        </w:rPr>
        <w:t>la</w:t>
      </w:r>
      <w:r>
        <w:rPr>
          <w:rFonts w:eastAsia="Times New Roman"/>
          <w:szCs w:val="24"/>
          <w:lang w:val="fr-FR"/>
        </w:rPr>
        <w:t xml:space="preserve"> </w:t>
      </w:r>
      <w:r w:rsidRPr="006A7230">
        <w:rPr>
          <w:rFonts w:eastAsia="Times New Roman"/>
          <w:szCs w:val="24"/>
          <w:lang w:val="fr-FR"/>
        </w:rPr>
        <w:t>responsabilité civile des magistrats</w:t>
      </w:r>
      <w:r>
        <w:rPr>
          <w:rFonts w:eastAsia="Times New Roman"/>
          <w:szCs w:val="24"/>
          <w:lang w:val="fr-FR"/>
        </w:rPr>
        <w:t xml:space="preserve">, </w:t>
      </w:r>
      <w:r>
        <w:rPr>
          <w:szCs w:val="24"/>
          <w:lang w:val="fr-FR"/>
        </w:rPr>
        <w:t xml:space="preserve">dans sa version </w:t>
      </w:r>
      <w:r w:rsidRPr="006A7230">
        <w:rPr>
          <w:szCs w:val="24"/>
          <w:lang w:val="fr-FR"/>
        </w:rPr>
        <w:t>en vigueur à l</w:t>
      </w:r>
      <w:r>
        <w:rPr>
          <w:szCs w:val="24"/>
          <w:lang w:val="fr-FR"/>
        </w:rPr>
        <w:t>’</w:t>
      </w:r>
      <w:r w:rsidRPr="006A7230">
        <w:rPr>
          <w:szCs w:val="24"/>
          <w:lang w:val="fr-FR"/>
        </w:rPr>
        <w:t>époque des faits,</w:t>
      </w:r>
      <w:r>
        <w:rPr>
          <w:rFonts w:eastAsia="Times New Roman"/>
          <w:szCs w:val="24"/>
          <w:lang w:val="fr-FR"/>
        </w:rPr>
        <w:t xml:space="preserve"> se lisait comme suit :</w:t>
      </w:r>
    </w:p>
    <w:p w:rsidR="001F4B22" w:rsidRPr="006A7230" w:rsidRDefault="001F4B22" w:rsidP="006A7230">
      <w:pPr>
        <w:pStyle w:val="ECHRParaQuote"/>
        <w:rPr>
          <w:rFonts w:eastAsia="Times New Roman"/>
          <w:lang w:val="fr-FR"/>
        </w:rPr>
      </w:pPr>
      <w:r w:rsidRPr="006A7230">
        <w:rPr>
          <w:rFonts w:eastAsia="Times New Roman"/>
          <w:lang w:val="fr-FR"/>
        </w:rPr>
        <w:t>«1.</w:t>
      </w:r>
      <w:r>
        <w:rPr>
          <w:rFonts w:eastAsia="Times New Roman"/>
          <w:lang w:val="fr-FR"/>
        </w:rPr>
        <w:t>  </w:t>
      </w:r>
      <w:r w:rsidRPr="006A7230">
        <w:rPr>
          <w:rFonts w:eastAsia="Times New Roman"/>
          <w:lang w:val="fr-FR"/>
        </w:rPr>
        <w:t xml:space="preserve">Toute personne ayant subi un </w:t>
      </w:r>
      <w:r>
        <w:rPr>
          <w:rFonts w:eastAsia="Times New Roman"/>
          <w:lang w:val="fr-FR"/>
        </w:rPr>
        <w:t>préjudic</w:t>
      </w:r>
      <w:r w:rsidRPr="006A7230">
        <w:rPr>
          <w:rFonts w:eastAsia="Times New Roman"/>
          <w:lang w:val="fr-FR"/>
        </w:rPr>
        <w:t>e injustifié en raison d</w:t>
      </w:r>
      <w:r>
        <w:rPr>
          <w:rFonts w:eastAsia="Times New Roman"/>
          <w:lang w:val="fr-FR"/>
        </w:rPr>
        <w:t>’</w:t>
      </w:r>
      <w:r w:rsidRPr="006A7230">
        <w:rPr>
          <w:rFonts w:eastAsia="Times New Roman"/>
          <w:lang w:val="fr-FR"/>
        </w:rPr>
        <w:t>un comportement,</w:t>
      </w:r>
      <w:r>
        <w:rPr>
          <w:rFonts w:eastAsia="Times New Roman"/>
          <w:lang w:val="fr-FR"/>
        </w:rPr>
        <w:t xml:space="preserve"> </w:t>
      </w:r>
      <w:r w:rsidRPr="006A7230">
        <w:rPr>
          <w:rFonts w:eastAsia="Times New Roman"/>
          <w:lang w:val="fr-FR"/>
        </w:rPr>
        <w:t>d</w:t>
      </w:r>
      <w:r>
        <w:rPr>
          <w:rFonts w:eastAsia="Times New Roman"/>
          <w:lang w:val="fr-FR"/>
        </w:rPr>
        <w:t>’</w:t>
      </w:r>
      <w:r w:rsidRPr="006A7230">
        <w:rPr>
          <w:rFonts w:eastAsia="Times New Roman"/>
          <w:lang w:val="fr-FR"/>
        </w:rPr>
        <w:t>un acte ou d</w:t>
      </w:r>
      <w:r>
        <w:rPr>
          <w:rFonts w:eastAsia="Times New Roman"/>
          <w:lang w:val="fr-FR"/>
        </w:rPr>
        <w:t>’</w:t>
      </w:r>
      <w:r w:rsidRPr="006A7230">
        <w:rPr>
          <w:rFonts w:eastAsia="Times New Roman"/>
          <w:lang w:val="fr-FR"/>
        </w:rPr>
        <w:t>une mesure judiciaire prise par un magistrat s</w:t>
      </w:r>
      <w:r>
        <w:rPr>
          <w:rFonts w:eastAsia="Times New Roman"/>
          <w:lang w:val="fr-FR"/>
        </w:rPr>
        <w:t>’</w:t>
      </w:r>
      <w:r w:rsidRPr="006A7230">
        <w:rPr>
          <w:rFonts w:eastAsia="Times New Roman"/>
          <w:lang w:val="fr-FR"/>
        </w:rPr>
        <w:t>étant rendu</w:t>
      </w:r>
      <w:r>
        <w:rPr>
          <w:rFonts w:eastAsia="Times New Roman"/>
          <w:lang w:val="fr-FR"/>
        </w:rPr>
        <w:t xml:space="preserve"> </w:t>
      </w:r>
      <w:r w:rsidRPr="006A7230">
        <w:rPr>
          <w:rFonts w:eastAsia="Times New Roman"/>
          <w:lang w:val="fr-FR"/>
        </w:rPr>
        <w:t>coupable de dol ou de faute grave dans l</w:t>
      </w:r>
      <w:r>
        <w:rPr>
          <w:rFonts w:eastAsia="Times New Roman"/>
          <w:lang w:val="fr-FR"/>
        </w:rPr>
        <w:t>’</w:t>
      </w:r>
      <w:r w:rsidRPr="006A7230">
        <w:rPr>
          <w:rFonts w:eastAsia="Times New Roman"/>
          <w:lang w:val="fr-FR"/>
        </w:rPr>
        <w:t>exercice de ses fonctions, ou en raison d</w:t>
      </w:r>
      <w:r>
        <w:rPr>
          <w:rFonts w:eastAsia="Times New Roman"/>
          <w:lang w:val="fr-FR"/>
        </w:rPr>
        <w:t>’</w:t>
      </w:r>
      <w:r w:rsidRPr="006A7230">
        <w:rPr>
          <w:rFonts w:eastAsia="Times New Roman"/>
          <w:lang w:val="fr-FR"/>
        </w:rPr>
        <w:t>un</w:t>
      </w:r>
      <w:r>
        <w:rPr>
          <w:rFonts w:eastAsia="Times New Roman"/>
          <w:lang w:val="fr-FR"/>
        </w:rPr>
        <w:t xml:space="preserve"> </w:t>
      </w:r>
      <w:r w:rsidRPr="006A7230">
        <w:rPr>
          <w:rFonts w:eastAsia="Times New Roman"/>
          <w:lang w:val="fr-FR"/>
        </w:rPr>
        <w:t>déni de justice, peut agir contre l</w:t>
      </w:r>
      <w:r>
        <w:rPr>
          <w:rFonts w:eastAsia="Times New Roman"/>
          <w:lang w:val="fr-FR"/>
        </w:rPr>
        <w:t>’</w:t>
      </w:r>
      <w:r w:rsidRPr="006A7230">
        <w:rPr>
          <w:rFonts w:eastAsia="Times New Roman"/>
          <w:lang w:val="fr-FR"/>
        </w:rPr>
        <w:t xml:space="preserve">État pour obtenir </w:t>
      </w:r>
      <w:r>
        <w:rPr>
          <w:rFonts w:eastAsia="Times New Roman"/>
          <w:lang w:val="fr-FR"/>
        </w:rPr>
        <w:t xml:space="preserve">la </w:t>
      </w:r>
      <w:r w:rsidRPr="006A7230">
        <w:rPr>
          <w:rFonts w:eastAsia="Times New Roman"/>
          <w:lang w:val="fr-FR"/>
        </w:rPr>
        <w:t>réparation des dommages</w:t>
      </w:r>
      <w:r>
        <w:rPr>
          <w:rFonts w:eastAsia="Times New Roman"/>
          <w:lang w:val="fr-FR"/>
        </w:rPr>
        <w:t xml:space="preserve"> </w:t>
      </w:r>
      <w:r w:rsidRPr="006A7230">
        <w:rPr>
          <w:rFonts w:eastAsia="Times New Roman"/>
          <w:lang w:val="fr-FR"/>
        </w:rPr>
        <w:t>patrimoniaux qu</w:t>
      </w:r>
      <w:r>
        <w:rPr>
          <w:rFonts w:eastAsia="Times New Roman"/>
          <w:lang w:val="fr-FR"/>
        </w:rPr>
        <w:t>’</w:t>
      </w:r>
      <w:r w:rsidRPr="006A7230">
        <w:rPr>
          <w:rFonts w:eastAsia="Times New Roman"/>
          <w:lang w:val="fr-FR"/>
        </w:rPr>
        <w:t>elle a subis ainsi que des dommages non patrimoniaux qui</w:t>
      </w:r>
      <w:r>
        <w:rPr>
          <w:rFonts w:eastAsia="Times New Roman"/>
          <w:lang w:val="fr-FR"/>
        </w:rPr>
        <w:t xml:space="preserve"> </w:t>
      </w:r>
      <w:r w:rsidRPr="006A7230">
        <w:rPr>
          <w:rFonts w:eastAsia="Times New Roman"/>
          <w:lang w:val="fr-FR"/>
        </w:rPr>
        <w:t>découlent de la privation de liberté personnelle.</w:t>
      </w:r>
    </w:p>
    <w:p w:rsidR="001F4B22" w:rsidRPr="006A7230" w:rsidRDefault="001F4B22" w:rsidP="006A7230">
      <w:pPr>
        <w:pStyle w:val="ECHRParaQuote"/>
        <w:rPr>
          <w:rFonts w:eastAsia="Times New Roman"/>
          <w:lang w:val="fr-FR"/>
        </w:rPr>
      </w:pPr>
      <w:r w:rsidRPr="006A7230">
        <w:rPr>
          <w:rFonts w:eastAsia="Times New Roman"/>
          <w:lang w:val="fr-FR"/>
        </w:rPr>
        <w:t>2.</w:t>
      </w:r>
      <w:r>
        <w:rPr>
          <w:rFonts w:eastAsia="Times New Roman"/>
          <w:lang w:val="fr-FR"/>
        </w:rPr>
        <w:t>  </w:t>
      </w:r>
      <w:r w:rsidRPr="006A7230">
        <w:rPr>
          <w:rFonts w:eastAsia="Times New Roman"/>
          <w:lang w:val="fr-FR"/>
        </w:rPr>
        <w:t>Dans l</w:t>
      </w:r>
      <w:r>
        <w:rPr>
          <w:rFonts w:eastAsia="Times New Roman"/>
          <w:lang w:val="fr-FR"/>
        </w:rPr>
        <w:t>’</w:t>
      </w:r>
      <w:r w:rsidRPr="006A7230">
        <w:rPr>
          <w:rFonts w:eastAsia="Times New Roman"/>
          <w:lang w:val="fr-FR"/>
        </w:rPr>
        <w:t>exercice des fonctions juridictionnelles, l</w:t>
      </w:r>
      <w:r>
        <w:rPr>
          <w:rFonts w:eastAsia="Times New Roman"/>
          <w:lang w:val="fr-FR"/>
        </w:rPr>
        <w:t>’</w:t>
      </w:r>
      <w:r w:rsidRPr="006A7230">
        <w:rPr>
          <w:rFonts w:eastAsia="Times New Roman"/>
          <w:lang w:val="fr-FR"/>
        </w:rPr>
        <w:t>interprétation des règles de droit</w:t>
      </w:r>
      <w:r>
        <w:rPr>
          <w:rFonts w:eastAsia="Times New Roman"/>
          <w:lang w:val="fr-FR"/>
        </w:rPr>
        <w:t xml:space="preserve"> </w:t>
      </w:r>
      <w:r w:rsidRPr="006A7230">
        <w:rPr>
          <w:rFonts w:eastAsia="Times New Roman"/>
          <w:lang w:val="fr-FR"/>
        </w:rPr>
        <w:t>et l</w:t>
      </w:r>
      <w:r>
        <w:rPr>
          <w:rFonts w:eastAsia="Times New Roman"/>
          <w:lang w:val="fr-FR"/>
        </w:rPr>
        <w:t>’</w:t>
      </w:r>
      <w:r w:rsidRPr="006A7230">
        <w:rPr>
          <w:rFonts w:eastAsia="Times New Roman"/>
          <w:lang w:val="fr-FR"/>
        </w:rPr>
        <w:t>appréciation des faits et des preuves ne peuvent pas donner lieu à responsabilité.</w:t>
      </w:r>
    </w:p>
    <w:p w:rsidR="001F4B22" w:rsidRPr="006A7230" w:rsidRDefault="001F4B22" w:rsidP="006A7230">
      <w:pPr>
        <w:pStyle w:val="ECHRParaQuote"/>
        <w:rPr>
          <w:rFonts w:eastAsia="Times New Roman"/>
          <w:lang w:val="fr-FR"/>
        </w:rPr>
      </w:pPr>
      <w:r w:rsidRPr="006A7230">
        <w:rPr>
          <w:rFonts w:eastAsia="Times New Roman"/>
          <w:lang w:val="fr-FR"/>
        </w:rPr>
        <w:t>3.</w:t>
      </w:r>
      <w:r>
        <w:rPr>
          <w:rFonts w:eastAsia="Times New Roman"/>
          <w:lang w:val="fr-FR"/>
        </w:rPr>
        <w:t>  </w:t>
      </w:r>
      <w:r w:rsidRPr="006A7230">
        <w:rPr>
          <w:rFonts w:eastAsia="Times New Roman"/>
          <w:lang w:val="fr-FR"/>
        </w:rPr>
        <w:t>Sont constitutifs d</w:t>
      </w:r>
      <w:r>
        <w:rPr>
          <w:rFonts w:eastAsia="Times New Roman"/>
          <w:lang w:val="fr-FR"/>
        </w:rPr>
        <w:t>’</w:t>
      </w:r>
      <w:r w:rsidRPr="006A7230">
        <w:rPr>
          <w:rFonts w:eastAsia="Times New Roman"/>
          <w:lang w:val="fr-FR"/>
        </w:rPr>
        <w:t>une faute grave</w:t>
      </w:r>
      <w:r>
        <w:rPr>
          <w:rFonts w:eastAsia="Times New Roman"/>
          <w:lang w:val="fr-FR"/>
        </w:rPr>
        <w:t> </w:t>
      </w:r>
      <w:r w:rsidRPr="006A7230">
        <w:rPr>
          <w:rFonts w:eastAsia="Times New Roman"/>
          <w:lang w:val="fr-FR"/>
        </w:rPr>
        <w:t>:</w:t>
      </w:r>
    </w:p>
    <w:p w:rsidR="001F4B22" w:rsidRPr="006A7230" w:rsidRDefault="001F4B22" w:rsidP="006A7230">
      <w:pPr>
        <w:pStyle w:val="ECHRParaQuote"/>
        <w:rPr>
          <w:rFonts w:eastAsia="Times New Roman"/>
          <w:lang w:val="fr-FR"/>
        </w:rPr>
      </w:pPr>
      <w:r w:rsidRPr="006A7230">
        <w:rPr>
          <w:rFonts w:eastAsia="Times New Roman"/>
          <w:lang w:val="fr-FR"/>
        </w:rPr>
        <w:t>a)</w:t>
      </w:r>
      <w:r>
        <w:rPr>
          <w:rFonts w:eastAsia="Times New Roman"/>
          <w:lang w:val="fr-FR"/>
        </w:rPr>
        <w:t>  </w:t>
      </w:r>
      <w:r w:rsidRPr="006A7230">
        <w:rPr>
          <w:rFonts w:eastAsia="Times New Roman"/>
          <w:lang w:val="fr-FR"/>
        </w:rPr>
        <w:t>une violation grave de la loi résultant d</w:t>
      </w:r>
      <w:r>
        <w:rPr>
          <w:rFonts w:eastAsia="Times New Roman"/>
          <w:lang w:val="fr-FR"/>
        </w:rPr>
        <w:t>’</w:t>
      </w:r>
      <w:r w:rsidRPr="006A7230">
        <w:rPr>
          <w:rFonts w:eastAsia="Times New Roman"/>
          <w:lang w:val="fr-FR"/>
        </w:rPr>
        <w:t>une négligence inexcusable</w:t>
      </w:r>
      <w:r>
        <w:rPr>
          <w:rFonts w:eastAsia="Times New Roman"/>
          <w:lang w:val="fr-FR"/>
        </w:rPr>
        <w:t> </w:t>
      </w:r>
      <w:r w:rsidRPr="006A7230">
        <w:rPr>
          <w:rFonts w:eastAsia="Times New Roman"/>
          <w:lang w:val="fr-FR"/>
        </w:rPr>
        <w:t>;</w:t>
      </w:r>
    </w:p>
    <w:p w:rsidR="001F4B22" w:rsidRPr="006A7230" w:rsidRDefault="001F4B22" w:rsidP="006A7230">
      <w:pPr>
        <w:pStyle w:val="ECHRParaQuote"/>
        <w:rPr>
          <w:rFonts w:eastAsia="Times New Roman"/>
          <w:lang w:val="fr-FR"/>
        </w:rPr>
      </w:pPr>
      <w:r w:rsidRPr="006A7230">
        <w:rPr>
          <w:rFonts w:eastAsia="Times New Roman"/>
          <w:lang w:val="fr-FR"/>
        </w:rPr>
        <w:t>b)</w:t>
      </w:r>
      <w:r>
        <w:rPr>
          <w:rFonts w:eastAsia="Times New Roman"/>
          <w:lang w:val="fr-FR"/>
        </w:rPr>
        <w:t>  </w:t>
      </w:r>
      <w:r w:rsidRPr="006A7230">
        <w:rPr>
          <w:rFonts w:eastAsia="Times New Roman"/>
          <w:lang w:val="fr-FR"/>
        </w:rPr>
        <w:t>l</w:t>
      </w:r>
      <w:r>
        <w:rPr>
          <w:rFonts w:eastAsia="Times New Roman"/>
          <w:lang w:val="fr-FR"/>
        </w:rPr>
        <w:t>’</w:t>
      </w:r>
      <w:r w:rsidRPr="006A7230">
        <w:rPr>
          <w:rFonts w:eastAsia="Times New Roman"/>
          <w:lang w:val="fr-FR"/>
        </w:rPr>
        <w:t>affirmation, due à une négligence inexcusable, d</w:t>
      </w:r>
      <w:r>
        <w:rPr>
          <w:rFonts w:eastAsia="Times New Roman"/>
          <w:lang w:val="fr-FR"/>
        </w:rPr>
        <w:t>’u</w:t>
      </w:r>
      <w:r w:rsidRPr="006A7230">
        <w:rPr>
          <w:rFonts w:eastAsia="Times New Roman"/>
          <w:lang w:val="fr-FR"/>
        </w:rPr>
        <w:t>n fait dont l</w:t>
      </w:r>
      <w:r>
        <w:rPr>
          <w:rFonts w:eastAsia="Times New Roman"/>
          <w:lang w:val="fr-FR"/>
        </w:rPr>
        <w:t>’</w:t>
      </w:r>
      <w:r w:rsidRPr="006A7230">
        <w:rPr>
          <w:rFonts w:eastAsia="Times New Roman"/>
          <w:lang w:val="fr-FR"/>
        </w:rPr>
        <w:t>existence est</w:t>
      </w:r>
      <w:r>
        <w:rPr>
          <w:rFonts w:eastAsia="Times New Roman"/>
          <w:lang w:val="fr-FR"/>
        </w:rPr>
        <w:t xml:space="preserve"> </w:t>
      </w:r>
      <w:r w:rsidRPr="006A7230">
        <w:rPr>
          <w:rFonts w:eastAsia="Times New Roman"/>
          <w:lang w:val="fr-FR"/>
        </w:rPr>
        <w:t>incontestablement réfutée par les pièces du dossier</w:t>
      </w:r>
      <w:r>
        <w:rPr>
          <w:rFonts w:eastAsia="Times New Roman"/>
          <w:lang w:val="fr-FR"/>
        </w:rPr>
        <w:t> </w:t>
      </w:r>
      <w:r w:rsidRPr="006A7230">
        <w:rPr>
          <w:rFonts w:eastAsia="Times New Roman"/>
          <w:lang w:val="fr-FR"/>
        </w:rPr>
        <w:t>;</w:t>
      </w:r>
    </w:p>
    <w:p w:rsidR="001F4B22" w:rsidRPr="006A7230" w:rsidRDefault="001F4B22" w:rsidP="006A7230">
      <w:pPr>
        <w:pStyle w:val="ECHRParaQuote"/>
        <w:rPr>
          <w:rFonts w:eastAsia="Times New Roman"/>
          <w:lang w:val="fr-FR"/>
        </w:rPr>
      </w:pPr>
      <w:r w:rsidRPr="006A7230">
        <w:rPr>
          <w:rFonts w:eastAsia="Times New Roman"/>
          <w:lang w:val="fr-FR"/>
        </w:rPr>
        <w:t>c)</w:t>
      </w:r>
      <w:r>
        <w:rPr>
          <w:rFonts w:eastAsia="Times New Roman"/>
          <w:lang w:val="fr-FR"/>
        </w:rPr>
        <w:t>  </w:t>
      </w:r>
      <w:r w:rsidRPr="006A7230">
        <w:rPr>
          <w:rFonts w:eastAsia="Times New Roman"/>
          <w:lang w:val="fr-FR"/>
        </w:rPr>
        <w:t>l</w:t>
      </w:r>
      <w:r>
        <w:rPr>
          <w:rFonts w:eastAsia="Times New Roman"/>
          <w:lang w:val="fr-FR"/>
        </w:rPr>
        <w:t>e déni</w:t>
      </w:r>
      <w:r w:rsidRPr="006A7230">
        <w:rPr>
          <w:rFonts w:eastAsia="Times New Roman"/>
          <w:lang w:val="fr-FR"/>
        </w:rPr>
        <w:t>, d</w:t>
      </w:r>
      <w:r>
        <w:rPr>
          <w:rFonts w:eastAsia="Times New Roman"/>
          <w:lang w:val="fr-FR"/>
        </w:rPr>
        <w:t>û</w:t>
      </w:r>
      <w:r w:rsidRPr="006A7230">
        <w:rPr>
          <w:rFonts w:eastAsia="Times New Roman"/>
          <w:lang w:val="fr-FR"/>
        </w:rPr>
        <w:t xml:space="preserve"> à une négligence inexcusable, d</w:t>
      </w:r>
      <w:r>
        <w:rPr>
          <w:rFonts w:eastAsia="Times New Roman"/>
          <w:lang w:val="fr-FR"/>
        </w:rPr>
        <w:t>’</w:t>
      </w:r>
      <w:r w:rsidRPr="006A7230">
        <w:rPr>
          <w:rFonts w:eastAsia="Times New Roman"/>
          <w:lang w:val="fr-FR"/>
        </w:rPr>
        <w:t>un fait dont l</w:t>
      </w:r>
      <w:r>
        <w:rPr>
          <w:rFonts w:eastAsia="Times New Roman"/>
          <w:lang w:val="fr-FR"/>
        </w:rPr>
        <w:t>’</w:t>
      </w:r>
      <w:r w:rsidRPr="006A7230">
        <w:rPr>
          <w:rFonts w:eastAsia="Times New Roman"/>
          <w:lang w:val="fr-FR"/>
        </w:rPr>
        <w:t>existence est</w:t>
      </w:r>
      <w:r>
        <w:rPr>
          <w:rFonts w:eastAsia="Times New Roman"/>
          <w:lang w:val="fr-FR"/>
        </w:rPr>
        <w:t xml:space="preserve"> </w:t>
      </w:r>
      <w:r w:rsidRPr="006A7230">
        <w:rPr>
          <w:rFonts w:eastAsia="Times New Roman"/>
          <w:lang w:val="fr-FR"/>
        </w:rPr>
        <w:t>incontestablement établie par les pièces du dossier</w:t>
      </w:r>
      <w:r>
        <w:rPr>
          <w:rFonts w:eastAsia="Times New Roman"/>
          <w:lang w:val="fr-FR"/>
        </w:rPr>
        <w:t> </w:t>
      </w:r>
      <w:r w:rsidRPr="006A7230">
        <w:rPr>
          <w:rFonts w:eastAsia="Times New Roman"/>
          <w:lang w:val="fr-FR"/>
        </w:rPr>
        <w:t>;</w:t>
      </w:r>
    </w:p>
    <w:p w:rsidR="001F4B22" w:rsidRPr="006A7230" w:rsidRDefault="001F4B22" w:rsidP="006A7230">
      <w:pPr>
        <w:pStyle w:val="ECHRParaQuote"/>
        <w:rPr>
          <w:rFonts w:eastAsia="Times New Roman"/>
          <w:lang w:val="fr-FR"/>
        </w:rPr>
      </w:pPr>
      <w:r w:rsidRPr="006A7230">
        <w:rPr>
          <w:rFonts w:eastAsia="Times New Roman"/>
          <w:lang w:val="fr-FR"/>
        </w:rPr>
        <w:t>d)</w:t>
      </w:r>
      <w:r>
        <w:rPr>
          <w:rFonts w:eastAsia="Times New Roman"/>
          <w:lang w:val="fr-FR"/>
        </w:rPr>
        <w:t>  </w:t>
      </w:r>
      <w:r w:rsidRPr="006A7230">
        <w:rPr>
          <w:rFonts w:eastAsia="Times New Roman"/>
          <w:lang w:val="fr-FR"/>
        </w:rPr>
        <w:t>l</w:t>
      </w:r>
      <w:r>
        <w:rPr>
          <w:rFonts w:eastAsia="Times New Roman"/>
          <w:lang w:val="fr-FR"/>
        </w:rPr>
        <w:t>’</w:t>
      </w:r>
      <w:r w:rsidRPr="006A7230">
        <w:rPr>
          <w:rFonts w:eastAsia="Times New Roman"/>
          <w:lang w:val="fr-FR"/>
        </w:rPr>
        <w:t>adoption</w:t>
      </w:r>
      <w:r>
        <w:rPr>
          <w:rFonts w:eastAsia="Times New Roman"/>
          <w:lang w:val="fr-FR"/>
        </w:rPr>
        <w:t>,</w:t>
      </w:r>
      <w:r w:rsidRPr="00C206AD">
        <w:rPr>
          <w:rFonts w:eastAsia="Times New Roman"/>
          <w:lang w:val="fr-FR"/>
        </w:rPr>
        <w:t xml:space="preserve"> </w:t>
      </w:r>
      <w:r w:rsidRPr="006A7230">
        <w:rPr>
          <w:rFonts w:eastAsia="Times New Roman"/>
          <w:lang w:val="fr-FR"/>
        </w:rPr>
        <w:t>en dehors des cas</w:t>
      </w:r>
      <w:r>
        <w:rPr>
          <w:rFonts w:eastAsia="Times New Roman"/>
          <w:lang w:val="fr-FR"/>
        </w:rPr>
        <w:t xml:space="preserve"> </w:t>
      </w:r>
      <w:r w:rsidRPr="006A7230">
        <w:rPr>
          <w:rFonts w:eastAsia="Times New Roman"/>
          <w:lang w:val="fr-FR"/>
        </w:rPr>
        <w:t>prévus par la loi ou sans motivation</w:t>
      </w:r>
      <w:r>
        <w:rPr>
          <w:rFonts w:eastAsia="Times New Roman"/>
          <w:lang w:val="fr-FR"/>
        </w:rPr>
        <w:t>,</w:t>
      </w:r>
      <w:r w:rsidRPr="006A7230">
        <w:rPr>
          <w:rFonts w:eastAsia="Times New Roman"/>
          <w:lang w:val="fr-FR"/>
        </w:rPr>
        <w:t xml:space="preserve"> d</w:t>
      </w:r>
      <w:r>
        <w:rPr>
          <w:rFonts w:eastAsia="Times New Roman"/>
          <w:lang w:val="fr-FR"/>
        </w:rPr>
        <w:t>’</w:t>
      </w:r>
      <w:r w:rsidRPr="006A7230">
        <w:rPr>
          <w:rFonts w:eastAsia="Times New Roman"/>
          <w:lang w:val="fr-FR"/>
        </w:rPr>
        <w:t>une mesure concernant la liberté personnelle.</w:t>
      </w:r>
      <w:r>
        <w:rPr>
          <w:rFonts w:eastAsia="Times New Roman"/>
          <w:lang w:val="fr-FR"/>
        </w:rPr>
        <w:t> </w:t>
      </w:r>
      <w:r w:rsidRPr="006A7230">
        <w:rPr>
          <w:rFonts w:eastAsia="Times New Roman"/>
          <w:lang w:val="fr-FR"/>
        </w:rPr>
        <w:t>»</w:t>
      </w:r>
    </w:p>
    <w:bookmarkStart w:id="9" w:name="legge117dell882"/>
    <w:p w:rsidR="001F4B22" w:rsidRDefault="001F4B22" w:rsidP="006A7230">
      <w:pPr>
        <w:pStyle w:val="ECHRPara"/>
        <w:rPr>
          <w:rFonts w:eastAsia="Times New Roman"/>
          <w:szCs w:val="24"/>
          <w:lang w:val="fr-FR"/>
        </w:rPr>
      </w:pPr>
      <w:r>
        <w:rPr>
          <w:rFonts w:eastAsia="Times New Roman"/>
          <w:szCs w:val="24"/>
          <w:lang w:val="fr-FR"/>
        </w:rPr>
        <w:fldChar w:fldCharType="begin"/>
      </w:r>
      <w:r>
        <w:rPr>
          <w:rFonts w:eastAsia="Times New Roman"/>
          <w:szCs w:val="24"/>
          <w:lang w:val="fr-FR"/>
        </w:rPr>
        <w:instrText xml:space="preserve"> SEQ level0 \*arabic </w:instrText>
      </w:r>
      <w:r>
        <w:rPr>
          <w:rFonts w:eastAsia="Times New Roman"/>
          <w:szCs w:val="24"/>
          <w:lang w:val="fr-FR"/>
        </w:rPr>
        <w:fldChar w:fldCharType="separate"/>
      </w:r>
      <w:r>
        <w:rPr>
          <w:rFonts w:eastAsia="Times New Roman"/>
          <w:noProof/>
          <w:szCs w:val="24"/>
          <w:lang w:val="fr-FR"/>
        </w:rPr>
        <w:t>30</w:t>
      </w:r>
      <w:r>
        <w:rPr>
          <w:rFonts w:eastAsia="Times New Roman"/>
          <w:szCs w:val="24"/>
          <w:lang w:val="fr-FR"/>
        </w:rPr>
        <w:fldChar w:fldCharType="end"/>
      </w:r>
      <w:bookmarkEnd w:id="9"/>
      <w:r>
        <w:rPr>
          <w:rFonts w:eastAsia="Times New Roman"/>
          <w:szCs w:val="24"/>
          <w:lang w:val="fr-FR"/>
        </w:rPr>
        <w:t>.  </w:t>
      </w:r>
      <w:r w:rsidRPr="006A7230">
        <w:rPr>
          <w:rFonts w:eastAsia="Times New Roman"/>
          <w:szCs w:val="24"/>
          <w:lang w:val="fr-FR"/>
        </w:rPr>
        <w:t>Aux termes de l</w:t>
      </w:r>
      <w:r>
        <w:rPr>
          <w:rFonts w:eastAsia="Times New Roman"/>
          <w:szCs w:val="24"/>
          <w:lang w:val="fr-FR"/>
        </w:rPr>
        <w:t>’</w:t>
      </w:r>
      <w:r w:rsidRPr="006A7230">
        <w:rPr>
          <w:rFonts w:eastAsia="Times New Roman"/>
          <w:szCs w:val="24"/>
          <w:lang w:val="fr-FR"/>
        </w:rPr>
        <w:t>article 3</w:t>
      </w:r>
      <w:r>
        <w:rPr>
          <w:rFonts w:eastAsia="Times New Roman"/>
          <w:szCs w:val="24"/>
          <w:lang w:val="fr-FR"/>
        </w:rPr>
        <w:t xml:space="preserve"> §</w:t>
      </w:r>
      <w:r w:rsidRPr="006A7230">
        <w:rPr>
          <w:rFonts w:eastAsia="Times New Roman"/>
          <w:szCs w:val="24"/>
          <w:lang w:val="fr-FR"/>
        </w:rPr>
        <w:t xml:space="preserve"> 1 de la loi n</w:t>
      </w:r>
      <w:r w:rsidRPr="000B2C31">
        <w:rPr>
          <w:rFonts w:eastAsia="Times New Roman"/>
          <w:szCs w:val="24"/>
          <w:vertAlign w:val="superscript"/>
          <w:lang w:val="fr-FR"/>
        </w:rPr>
        <w:t>o</w:t>
      </w:r>
      <w:r w:rsidRPr="006A7230">
        <w:rPr>
          <w:rFonts w:eastAsia="Times New Roman"/>
          <w:szCs w:val="24"/>
          <w:lang w:val="fr-FR"/>
        </w:rPr>
        <w:t xml:space="preserve"> 117</w:t>
      </w:r>
      <w:r>
        <w:rPr>
          <w:rFonts w:eastAsia="Times New Roman"/>
          <w:szCs w:val="24"/>
          <w:lang w:val="fr-FR"/>
        </w:rPr>
        <w:t xml:space="preserve"> de 19</w:t>
      </w:r>
      <w:r w:rsidRPr="006A7230">
        <w:rPr>
          <w:rFonts w:eastAsia="Times New Roman"/>
          <w:szCs w:val="24"/>
          <w:lang w:val="fr-FR"/>
        </w:rPr>
        <w:t>88</w:t>
      </w:r>
      <w:r>
        <w:rPr>
          <w:rFonts w:eastAsia="Times New Roman"/>
          <w:szCs w:val="24"/>
          <w:lang w:val="fr-FR"/>
        </w:rPr>
        <w:t xml:space="preserve"> </w:t>
      </w:r>
      <w:r w:rsidRPr="006A7230">
        <w:rPr>
          <w:rFonts w:eastAsia="Times New Roman"/>
          <w:szCs w:val="24"/>
          <w:lang w:val="fr-FR"/>
        </w:rPr>
        <w:t>constitu</w:t>
      </w:r>
      <w:r>
        <w:rPr>
          <w:rFonts w:eastAsia="Times New Roman"/>
          <w:szCs w:val="24"/>
          <w:lang w:val="fr-FR"/>
        </w:rPr>
        <w:t>aient</w:t>
      </w:r>
      <w:r w:rsidRPr="006A7230">
        <w:rPr>
          <w:rFonts w:eastAsia="Times New Roman"/>
          <w:szCs w:val="24"/>
          <w:lang w:val="fr-FR"/>
        </w:rPr>
        <w:t xml:space="preserve"> un déni de justice</w:t>
      </w:r>
      <w:r>
        <w:rPr>
          <w:rFonts w:eastAsia="Times New Roman"/>
          <w:szCs w:val="24"/>
          <w:lang w:val="fr-FR"/>
        </w:rPr>
        <w:t> :</w:t>
      </w:r>
    </w:p>
    <w:p w:rsidR="001F4B22" w:rsidRPr="006A7230" w:rsidRDefault="001F4B22" w:rsidP="006A7230">
      <w:pPr>
        <w:pStyle w:val="ECHRParaQuote"/>
        <w:rPr>
          <w:rFonts w:eastAsia="Times New Roman"/>
          <w:lang w:val="fr-FR"/>
        </w:rPr>
      </w:pPr>
      <w:r w:rsidRPr="006A7230">
        <w:rPr>
          <w:rFonts w:eastAsia="Times New Roman"/>
          <w:lang w:val="fr-FR"/>
        </w:rPr>
        <w:t>«</w:t>
      </w:r>
      <w:r>
        <w:rPr>
          <w:rFonts w:eastAsia="Times New Roman"/>
          <w:lang w:val="fr-FR"/>
        </w:rPr>
        <w:t> </w:t>
      </w:r>
      <w:r w:rsidRPr="006A7230">
        <w:rPr>
          <w:rFonts w:eastAsia="Times New Roman"/>
          <w:lang w:val="fr-FR"/>
        </w:rPr>
        <w:t>le refus, l</w:t>
      </w:r>
      <w:r>
        <w:rPr>
          <w:rFonts w:eastAsia="Times New Roman"/>
          <w:lang w:val="fr-FR"/>
        </w:rPr>
        <w:t>’</w:t>
      </w:r>
      <w:r w:rsidRPr="006A7230">
        <w:rPr>
          <w:rFonts w:eastAsia="Times New Roman"/>
          <w:lang w:val="fr-FR"/>
        </w:rPr>
        <w:t>omission ou le retard du</w:t>
      </w:r>
      <w:r>
        <w:rPr>
          <w:rFonts w:eastAsia="Times New Roman"/>
          <w:lang w:val="fr-FR"/>
        </w:rPr>
        <w:t xml:space="preserve"> </w:t>
      </w:r>
      <w:r w:rsidRPr="006A7230">
        <w:rPr>
          <w:rFonts w:eastAsia="Times New Roman"/>
          <w:lang w:val="fr-FR"/>
        </w:rPr>
        <w:t>magistrat dans l</w:t>
      </w:r>
      <w:r>
        <w:rPr>
          <w:rFonts w:eastAsia="Times New Roman"/>
          <w:lang w:val="fr-FR"/>
        </w:rPr>
        <w:t>’</w:t>
      </w:r>
      <w:r w:rsidRPr="006A7230">
        <w:rPr>
          <w:rFonts w:eastAsia="Times New Roman"/>
          <w:lang w:val="fr-FR"/>
        </w:rPr>
        <w:t>accomplissement d</w:t>
      </w:r>
      <w:r>
        <w:rPr>
          <w:rFonts w:eastAsia="Times New Roman"/>
          <w:lang w:val="fr-FR"/>
        </w:rPr>
        <w:t>’</w:t>
      </w:r>
      <w:r w:rsidRPr="006A7230">
        <w:rPr>
          <w:rFonts w:eastAsia="Times New Roman"/>
          <w:lang w:val="fr-FR"/>
        </w:rPr>
        <w:t>actes relevant de sa compétence lorsque, après</w:t>
      </w:r>
      <w:r>
        <w:rPr>
          <w:rFonts w:eastAsia="Times New Roman"/>
          <w:lang w:val="fr-FR"/>
        </w:rPr>
        <w:t xml:space="preserve"> </w:t>
      </w:r>
      <w:r w:rsidRPr="006A7230">
        <w:rPr>
          <w:rFonts w:eastAsia="Times New Roman"/>
          <w:lang w:val="fr-FR"/>
        </w:rPr>
        <w:t>l</w:t>
      </w:r>
      <w:r>
        <w:rPr>
          <w:rFonts w:eastAsia="Times New Roman"/>
          <w:lang w:val="fr-FR"/>
        </w:rPr>
        <w:t>’</w:t>
      </w:r>
      <w:r w:rsidRPr="006A7230">
        <w:rPr>
          <w:rFonts w:eastAsia="Times New Roman"/>
          <w:lang w:val="fr-FR"/>
        </w:rPr>
        <w:t>expiration du délai légal pour l</w:t>
      </w:r>
      <w:r>
        <w:rPr>
          <w:rFonts w:eastAsia="Times New Roman"/>
          <w:lang w:val="fr-FR"/>
        </w:rPr>
        <w:t>’</w:t>
      </w:r>
      <w:r w:rsidRPr="006A7230">
        <w:rPr>
          <w:rFonts w:eastAsia="Times New Roman"/>
          <w:lang w:val="fr-FR"/>
        </w:rPr>
        <w:t>accomplissement de l</w:t>
      </w:r>
      <w:r>
        <w:rPr>
          <w:rFonts w:eastAsia="Times New Roman"/>
          <w:lang w:val="fr-FR"/>
        </w:rPr>
        <w:t>’</w:t>
      </w:r>
      <w:r w:rsidRPr="006A7230">
        <w:rPr>
          <w:rFonts w:eastAsia="Times New Roman"/>
          <w:lang w:val="fr-FR"/>
        </w:rPr>
        <w:t>acte en cause, la partie a</w:t>
      </w:r>
      <w:r>
        <w:rPr>
          <w:rFonts w:eastAsia="Times New Roman"/>
          <w:lang w:val="fr-FR"/>
        </w:rPr>
        <w:t xml:space="preserve"> </w:t>
      </w:r>
      <w:r w:rsidRPr="006A7230">
        <w:rPr>
          <w:rFonts w:eastAsia="Times New Roman"/>
          <w:lang w:val="fr-FR"/>
        </w:rPr>
        <w:t>présenté une demande en vue de l</w:t>
      </w:r>
      <w:r>
        <w:rPr>
          <w:rFonts w:eastAsia="Times New Roman"/>
          <w:lang w:val="fr-FR"/>
        </w:rPr>
        <w:t>’</w:t>
      </w:r>
      <w:r w:rsidRPr="006A7230">
        <w:rPr>
          <w:rFonts w:eastAsia="Times New Roman"/>
          <w:lang w:val="fr-FR"/>
        </w:rPr>
        <w:t>obtention d</w:t>
      </w:r>
      <w:r>
        <w:rPr>
          <w:rFonts w:eastAsia="Times New Roman"/>
          <w:lang w:val="fr-FR"/>
        </w:rPr>
        <w:t>’</w:t>
      </w:r>
      <w:r w:rsidRPr="006A7230">
        <w:rPr>
          <w:rFonts w:eastAsia="Times New Roman"/>
          <w:lang w:val="fr-FR"/>
        </w:rPr>
        <w:t>un tel acte et que, sans raison valable,</w:t>
      </w:r>
      <w:r>
        <w:rPr>
          <w:rFonts w:eastAsia="Times New Roman"/>
          <w:lang w:val="fr-FR"/>
        </w:rPr>
        <w:t xml:space="preserve"> </w:t>
      </w:r>
      <w:r w:rsidRPr="006A7230">
        <w:rPr>
          <w:rFonts w:eastAsia="Times New Roman"/>
          <w:lang w:val="fr-FR"/>
        </w:rPr>
        <w:t>aucune mesure n</w:t>
      </w:r>
      <w:r>
        <w:rPr>
          <w:rFonts w:eastAsia="Times New Roman"/>
          <w:lang w:val="fr-FR"/>
        </w:rPr>
        <w:t>’</w:t>
      </w:r>
      <w:r w:rsidRPr="006A7230">
        <w:rPr>
          <w:rFonts w:eastAsia="Times New Roman"/>
          <w:lang w:val="fr-FR"/>
        </w:rPr>
        <w:t xml:space="preserve">a été prise dans </w:t>
      </w:r>
      <w:r w:rsidRPr="00C206AD">
        <w:rPr>
          <w:rFonts w:eastAsia="Times New Roman"/>
          <w:lang w:val="fr-FR"/>
        </w:rPr>
        <w:t>les trente jours qui ont suivi la date du dépôt de ladite demande au greffe. »</w:t>
      </w:r>
    </w:p>
    <w:bookmarkStart w:id="10" w:name="legge117dell883"/>
    <w:p w:rsidR="001F4B22" w:rsidRPr="002A21D8" w:rsidRDefault="001F4B22" w:rsidP="00CD421A">
      <w:pPr>
        <w:pStyle w:val="ECHRPara"/>
        <w:rPr>
          <w:rFonts w:eastAsia="Times New Roman"/>
          <w:szCs w:val="24"/>
          <w:lang w:val="fr-FR"/>
        </w:rPr>
      </w:pPr>
      <w:r>
        <w:rPr>
          <w:rFonts w:eastAsia="Times New Roman"/>
          <w:szCs w:val="24"/>
          <w:lang w:val="fr-FR"/>
        </w:rPr>
        <w:fldChar w:fldCharType="begin"/>
      </w:r>
      <w:r>
        <w:rPr>
          <w:rFonts w:eastAsia="Times New Roman"/>
          <w:szCs w:val="24"/>
          <w:lang w:val="fr-FR"/>
        </w:rPr>
        <w:instrText xml:space="preserve"> SEQ level0 \*arabic </w:instrText>
      </w:r>
      <w:r>
        <w:rPr>
          <w:rFonts w:eastAsia="Times New Roman"/>
          <w:szCs w:val="24"/>
          <w:lang w:val="fr-FR"/>
        </w:rPr>
        <w:fldChar w:fldCharType="separate"/>
      </w:r>
      <w:r>
        <w:rPr>
          <w:rFonts w:eastAsia="Times New Roman"/>
          <w:noProof/>
          <w:szCs w:val="24"/>
          <w:lang w:val="fr-FR"/>
        </w:rPr>
        <w:t>31</w:t>
      </w:r>
      <w:r>
        <w:rPr>
          <w:rFonts w:eastAsia="Times New Roman"/>
          <w:szCs w:val="24"/>
          <w:lang w:val="fr-FR"/>
        </w:rPr>
        <w:fldChar w:fldCharType="end"/>
      </w:r>
      <w:bookmarkEnd w:id="10"/>
      <w:r>
        <w:rPr>
          <w:rFonts w:eastAsia="Times New Roman"/>
          <w:szCs w:val="24"/>
          <w:lang w:val="fr-FR"/>
        </w:rPr>
        <w:t>.  </w:t>
      </w:r>
      <w:r w:rsidRPr="006A7230">
        <w:rPr>
          <w:rFonts w:eastAsia="Times New Roman"/>
          <w:szCs w:val="24"/>
          <w:lang w:val="fr-FR"/>
        </w:rPr>
        <w:t>Les articles suivants de la loi précis</w:t>
      </w:r>
      <w:r>
        <w:rPr>
          <w:rFonts w:eastAsia="Times New Roman"/>
          <w:szCs w:val="24"/>
          <w:lang w:val="fr-FR"/>
        </w:rPr>
        <w:t>aient</w:t>
      </w:r>
      <w:r w:rsidRPr="006A7230">
        <w:rPr>
          <w:rFonts w:eastAsia="Times New Roman"/>
          <w:szCs w:val="24"/>
          <w:lang w:val="fr-FR"/>
        </w:rPr>
        <w:t xml:space="preserve"> les conditions et les modalités </w:t>
      </w:r>
      <w:r>
        <w:rPr>
          <w:rFonts w:eastAsia="Times New Roman"/>
          <w:szCs w:val="24"/>
          <w:lang w:val="fr-FR"/>
        </w:rPr>
        <w:t>de l’engagement d’</w:t>
      </w:r>
      <w:r w:rsidRPr="006A7230">
        <w:rPr>
          <w:rFonts w:eastAsia="Times New Roman"/>
          <w:szCs w:val="24"/>
          <w:lang w:val="fr-FR"/>
        </w:rPr>
        <w:t>une action en réparation au titre des articles</w:t>
      </w:r>
      <w:r>
        <w:rPr>
          <w:rFonts w:eastAsia="Times New Roman"/>
          <w:szCs w:val="24"/>
          <w:lang w:val="fr-FR"/>
        </w:rPr>
        <w:t> </w:t>
      </w:r>
      <w:r w:rsidRPr="006A7230">
        <w:rPr>
          <w:rFonts w:eastAsia="Times New Roman"/>
          <w:szCs w:val="24"/>
          <w:lang w:val="fr-FR"/>
        </w:rPr>
        <w:t>2 ou 3 de</w:t>
      </w:r>
      <w:r>
        <w:rPr>
          <w:rFonts w:eastAsia="Times New Roman"/>
          <w:szCs w:val="24"/>
          <w:lang w:val="fr-FR"/>
        </w:rPr>
        <w:t xml:space="preserve"> </w:t>
      </w:r>
      <w:r w:rsidRPr="006A7230">
        <w:rPr>
          <w:rFonts w:eastAsia="Times New Roman"/>
          <w:szCs w:val="24"/>
          <w:lang w:val="fr-FR"/>
        </w:rPr>
        <w:t>cette loi, ainsi que les actions qui p</w:t>
      </w:r>
      <w:r>
        <w:rPr>
          <w:rFonts w:eastAsia="Times New Roman"/>
          <w:szCs w:val="24"/>
          <w:lang w:val="fr-FR"/>
        </w:rPr>
        <w:t>ouvaient</w:t>
      </w:r>
      <w:r w:rsidRPr="006A7230">
        <w:rPr>
          <w:rFonts w:eastAsia="Times New Roman"/>
          <w:szCs w:val="24"/>
          <w:lang w:val="fr-FR"/>
        </w:rPr>
        <w:t xml:space="preserve"> être entreprises, </w:t>
      </w:r>
      <w:r w:rsidRPr="0033215C">
        <w:rPr>
          <w:rFonts w:eastAsia="Times New Roman"/>
          <w:i/>
          <w:szCs w:val="24"/>
          <w:lang w:val="fr-FR"/>
        </w:rPr>
        <w:t>a posteriori</w:t>
      </w:r>
      <w:r w:rsidRPr="006A7230">
        <w:rPr>
          <w:rFonts w:eastAsia="Times New Roman"/>
          <w:szCs w:val="24"/>
          <w:lang w:val="fr-FR"/>
        </w:rPr>
        <w:t>, à l</w:t>
      </w:r>
      <w:r>
        <w:rPr>
          <w:rFonts w:eastAsia="Times New Roman"/>
          <w:szCs w:val="24"/>
          <w:lang w:val="fr-FR"/>
        </w:rPr>
        <w:t>’</w:t>
      </w:r>
      <w:r w:rsidRPr="006A7230">
        <w:rPr>
          <w:rFonts w:eastAsia="Times New Roman"/>
          <w:szCs w:val="24"/>
          <w:lang w:val="fr-FR"/>
        </w:rPr>
        <w:t>égard du</w:t>
      </w:r>
      <w:r>
        <w:rPr>
          <w:rFonts w:eastAsia="Times New Roman"/>
          <w:szCs w:val="24"/>
          <w:lang w:val="fr-FR"/>
        </w:rPr>
        <w:t xml:space="preserve"> </w:t>
      </w:r>
      <w:r w:rsidRPr="006A7230">
        <w:rPr>
          <w:rFonts w:eastAsia="Times New Roman"/>
          <w:szCs w:val="24"/>
          <w:lang w:val="fr-FR"/>
        </w:rPr>
        <w:t>magistrat qui s</w:t>
      </w:r>
      <w:r>
        <w:rPr>
          <w:rFonts w:eastAsia="Times New Roman"/>
          <w:szCs w:val="24"/>
          <w:lang w:val="fr-FR"/>
        </w:rPr>
        <w:t>’était</w:t>
      </w:r>
      <w:r w:rsidRPr="006A7230">
        <w:rPr>
          <w:rFonts w:eastAsia="Times New Roman"/>
          <w:szCs w:val="24"/>
          <w:lang w:val="fr-FR"/>
        </w:rPr>
        <w:t xml:space="preserve"> rendu coupable d</w:t>
      </w:r>
      <w:r>
        <w:rPr>
          <w:rFonts w:eastAsia="Times New Roman"/>
          <w:szCs w:val="24"/>
          <w:lang w:val="fr-FR"/>
        </w:rPr>
        <w:t>’</w:t>
      </w:r>
      <w:r w:rsidRPr="006A7230">
        <w:rPr>
          <w:rFonts w:eastAsia="Times New Roman"/>
          <w:szCs w:val="24"/>
          <w:lang w:val="fr-FR"/>
        </w:rPr>
        <w:t>un dol ou d</w:t>
      </w:r>
      <w:r>
        <w:rPr>
          <w:rFonts w:eastAsia="Times New Roman"/>
          <w:szCs w:val="24"/>
          <w:lang w:val="fr-FR"/>
        </w:rPr>
        <w:t>’</w:t>
      </w:r>
      <w:r w:rsidRPr="006A7230">
        <w:rPr>
          <w:rFonts w:eastAsia="Times New Roman"/>
          <w:szCs w:val="24"/>
          <w:lang w:val="fr-FR"/>
        </w:rPr>
        <w:t>une faute grave dans l</w:t>
      </w:r>
      <w:r>
        <w:rPr>
          <w:rFonts w:eastAsia="Times New Roman"/>
          <w:szCs w:val="24"/>
          <w:lang w:val="fr-FR"/>
        </w:rPr>
        <w:t>’</w:t>
      </w:r>
      <w:r w:rsidRPr="006A7230">
        <w:rPr>
          <w:rFonts w:eastAsia="Times New Roman"/>
          <w:szCs w:val="24"/>
          <w:lang w:val="fr-FR"/>
        </w:rPr>
        <w:t>exercice de</w:t>
      </w:r>
      <w:r>
        <w:rPr>
          <w:rFonts w:eastAsia="Times New Roman"/>
          <w:szCs w:val="24"/>
          <w:lang w:val="fr-FR"/>
        </w:rPr>
        <w:t xml:space="preserve"> </w:t>
      </w:r>
      <w:r w:rsidRPr="006A7230">
        <w:rPr>
          <w:rFonts w:eastAsia="Times New Roman"/>
          <w:szCs w:val="24"/>
          <w:lang w:val="fr-FR"/>
        </w:rPr>
        <w:t>ses fonctions, voire d</w:t>
      </w:r>
      <w:r>
        <w:rPr>
          <w:rFonts w:eastAsia="Times New Roman"/>
          <w:szCs w:val="24"/>
          <w:lang w:val="fr-FR"/>
        </w:rPr>
        <w:t>’</w:t>
      </w:r>
      <w:r w:rsidRPr="006A7230">
        <w:rPr>
          <w:rFonts w:eastAsia="Times New Roman"/>
          <w:szCs w:val="24"/>
          <w:lang w:val="fr-FR"/>
        </w:rPr>
        <w:t>un déni de justice.</w:t>
      </w:r>
      <w:r>
        <w:rPr>
          <w:rFonts w:eastAsia="Times New Roman"/>
          <w:szCs w:val="24"/>
          <w:lang w:val="fr-FR"/>
        </w:rPr>
        <w:t xml:space="preserve"> En particulier, aux termes de l’article 4 § 2 de la loi, l’action contre l’État devait être entamée, sous peine d’irrecevabilité, dans un délai de deux </w:t>
      </w:r>
      <w:r w:rsidRPr="002A21D8">
        <w:rPr>
          <w:rFonts w:eastAsia="Times New Roman"/>
          <w:szCs w:val="24"/>
          <w:lang w:val="fr-FR"/>
        </w:rPr>
        <w:t>ans à partir, entre autres, de la date à laquelle la décision litigieuse était devenue définitive.</w:t>
      </w:r>
    </w:p>
    <w:bookmarkStart w:id="11" w:name="riformalegge11788"/>
    <w:p w:rsidR="001F4B22" w:rsidRDefault="001F4B22" w:rsidP="00CD421A">
      <w:pPr>
        <w:pStyle w:val="ECHRPara"/>
        <w:rPr>
          <w:lang w:val="fr-FR"/>
        </w:rPr>
      </w:pPr>
      <w:r w:rsidRPr="002A21D8">
        <w:rPr>
          <w:rFonts w:eastAsia="Times New Roman"/>
          <w:szCs w:val="24"/>
          <w:lang w:val="fr-FR"/>
        </w:rPr>
        <w:fldChar w:fldCharType="begin"/>
      </w:r>
      <w:r w:rsidRPr="002A21D8">
        <w:rPr>
          <w:rFonts w:eastAsia="Times New Roman"/>
          <w:szCs w:val="24"/>
          <w:lang w:val="fr-FR"/>
        </w:rPr>
        <w:instrText xml:space="preserve"> SEQ level0 \*arabic </w:instrText>
      </w:r>
      <w:r w:rsidRPr="002A21D8">
        <w:rPr>
          <w:rFonts w:eastAsia="Times New Roman"/>
          <w:szCs w:val="24"/>
          <w:lang w:val="fr-FR"/>
        </w:rPr>
        <w:fldChar w:fldCharType="separate"/>
      </w:r>
      <w:r>
        <w:rPr>
          <w:rFonts w:eastAsia="Times New Roman"/>
          <w:noProof/>
          <w:szCs w:val="24"/>
          <w:lang w:val="fr-FR"/>
        </w:rPr>
        <w:t>32</w:t>
      </w:r>
      <w:r w:rsidRPr="002A21D8">
        <w:rPr>
          <w:rFonts w:eastAsia="Times New Roman"/>
          <w:szCs w:val="24"/>
          <w:lang w:val="fr-FR"/>
        </w:rPr>
        <w:fldChar w:fldCharType="end"/>
      </w:r>
      <w:bookmarkEnd w:id="11"/>
      <w:r w:rsidRPr="002A21D8">
        <w:rPr>
          <w:rFonts w:eastAsia="Times New Roman"/>
          <w:szCs w:val="24"/>
          <w:lang w:val="fr-FR"/>
        </w:rPr>
        <w:t>.  La loi n</w:t>
      </w:r>
      <w:r w:rsidRPr="000B2C31">
        <w:rPr>
          <w:rFonts w:eastAsia="Times New Roman"/>
          <w:szCs w:val="24"/>
          <w:vertAlign w:val="superscript"/>
          <w:lang w:val="fr-FR"/>
        </w:rPr>
        <w:t>o</w:t>
      </w:r>
      <w:r w:rsidRPr="002A21D8">
        <w:rPr>
          <w:rFonts w:eastAsia="Times New Roman"/>
          <w:szCs w:val="24"/>
          <w:lang w:val="fr-FR"/>
        </w:rPr>
        <w:t xml:space="preserve"> 117 de 1988 a été modifiée par la loi n</w:t>
      </w:r>
      <w:r w:rsidRPr="000B2C31">
        <w:rPr>
          <w:rFonts w:eastAsia="Times New Roman"/>
          <w:szCs w:val="24"/>
          <w:vertAlign w:val="superscript"/>
          <w:lang w:val="fr-FR"/>
        </w:rPr>
        <w:t>o</w:t>
      </w:r>
      <w:r w:rsidRPr="002A21D8">
        <w:rPr>
          <w:rFonts w:eastAsia="Times New Roman"/>
          <w:szCs w:val="24"/>
          <w:lang w:val="fr-FR"/>
        </w:rPr>
        <w:t xml:space="preserve"> 18 d</w:t>
      </w:r>
      <w:r>
        <w:rPr>
          <w:rFonts w:eastAsia="Times New Roman"/>
          <w:szCs w:val="24"/>
          <w:lang w:val="fr-FR"/>
        </w:rPr>
        <w:t>u 27 </w:t>
      </w:r>
      <w:r w:rsidRPr="002A21D8">
        <w:rPr>
          <w:rFonts w:eastAsia="Times New Roman"/>
          <w:szCs w:val="24"/>
          <w:lang w:val="fr-FR"/>
        </w:rPr>
        <w:t xml:space="preserve">février 2015, qui est entrée en vigueur le 19 mars 2015. Cette réforme a pris en compte, entre autres, les principes énoncés par la </w:t>
      </w:r>
      <w:r>
        <w:rPr>
          <w:rFonts w:eastAsia="Times New Roman"/>
          <w:szCs w:val="24"/>
          <w:lang w:val="fr-FR"/>
        </w:rPr>
        <w:t>CJCE</w:t>
      </w:r>
      <w:r w:rsidRPr="002A21D8">
        <w:rPr>
          <w:rFonts w:eastAsia="Times New Roman"/>
          <w:szCs w:val="24"/>
          <w:lang w:val="fr-FR"/>
        </w:rPr>
        <w:t xml:space="preserve"> dans son arrêt </w:t>
      </w:r>
      <w:r w:rsidRPr="002A21D8">
        <w:rPr>
          <w:i/>
          <w:lang w:val="fr-FR"/>
        </w:rPr>
        <w:t xml:space="preserve">Traghetti del Mediterraneo </w:t>
      </w:r>
      <w:r w:rsidRPr="002A21D8">
        <w:rPr>
          <w:lang w:val="fr-FR"/>
        </w:rPr>
        <w:t xml:space="preserve">(paragraphes </w:t>
      </w:r>
      <w:fldSimple w:instr=" REF traghettidelmediterraneo \h  \* MERGEFORMAT ">
        <w:r>
          <w:rPr>
            <w:noProof/>
            <w:lang w:val="fr-FR"/>
          </w:rPr>
          <w:t>33</w:t>
        </w:r>
      </w:fldSimple>
      <w:r w:rsidRPr="002A21D8">
        <w:rPr>
          <w:lang w:val="fr-FR"/>
        </w:rPr>
        <w:t>-</w:t>
      </w:r>
      <w:fldSimple w:instr=" REF traghettidelmediterraneoconclusioni \h  \* MERGEFORMAT ">
        <w:r>
          <w:rPr>
            <w:noProof/>
            <w:lang w:val="fr-FR"/>
          </w:rPr>
          <w:t>35</w:t>
        </w:r>
      </w:fldSimple>
      <w:r w:rsidRPr="002A21D8">
        <w:rPr>
          <w:lang w:val="fr-FR"/>
        </w:rPr>
        <w:t xml:space="preserve"> ci-dessous). Elle précise, notamment, qu</w:t>
      </w:r>
      <w:r>
        <w:rPr>
          <w:lang w:val="fr-FR"/>
        </w:rPr>
        <w:t>’</w:t>
      </w:r>
      <w:r w:rsidRPr="002A21D8">
        <w:rPr>
          <w:lang w:val="fr-FR"/>
        </w:rPr>
        <w:t xml:space="preserve">une « faute grave » est constituée </w:t>
      </w:r>
      <w:r w:rsidRPr="0033215C">
        <w:rPr>
          <w:lang w:val="fr-FR"/>
        </w:rPr>
        <w:t>dès lors qu</w:t>
      </w:r>
      <w:r>
        <w:rPr>
          <w:lang w:val="fr-FR"/>
        </w:rPr>
        <w:t>’</w:t>
      </w:r>
      <w:r w:rsidRPr="0033215C">
        <w:rPr>
          <w:lang w:val="fr-FR"/>
        </w:rPr>
        <w:t>il y a</w:t>
      </w:r>
      <w:r w:rsidRPr="002A21D8">
        <w:rPr>
          <w:lang w:val="fr-FR"/>
        </w:rPr>
        <w:t xml:space="preserve"> violation manifeste de la loi italienne ou du droit de l</w:t>
      </w:r>
      <w:r>
        <w:rPr>
          <w:lang w:val="fr-FR"/>
        </w:rPr>
        <w:t>’</w:t>
      </w:r>
      <w:r w:rsidRPr="002A21D8">
        <w:rPr>
          <w:lang w:val="fr-FR"/>
        </w:rPr>
        <w:t xml:space="preserve">UE, </w:t>
      </w:r>
      <w:r w:rsidRPr="0033215C">
        <w:rPr>
          <w:lang w:val="fr-FR"/>
        </w:rPr>
        <w:t>et que pareille violation s</w:t>
      </w:r>
      <w:r>
        <w:rPr>
          <w:lang w:val="fr-FR"/>
        </w:rPr>
        <w:t>’apprécie</w:t>
      </w:r>
      <w:r w:rsidRPr="0033215C">
        <w:rPr>
          <w:lang w:val="fr-FR"/>
        </w:rPr>
        <w:t xml:space="preserve"> </w:t>
      </w:r>
      <w:r w:rsidRPr="002A21D8">
        <w:rPr>
          <w:lang w:val="fr-FR"/>
        </w:rPr>
        <w:t xml:space="preserve">en tenant compte </w:t>
      </w:r>
      <w:r>
        <w:rPr>
          <w:lang w:val="fr-FR"/>
        </w:rPr>
        <w:t>notamment</w:t>
      </w:r>
      <w:r w:rsidRPr="002A21D8">
        <w:rPr>
          <w:lang w:val="fr-FR"/>
        </w:rPr>
        <w:t xml:space="preserve"> de la non-observance de l</w:t>
      </w:r>
      <w:r>
        <w:rPr>
          <w:lang w:val="fr-FR"/>
        </w:rPr>
        <w:t>’</w:t>
      </w:r>
      <w:r w:rsidRPr="002A21D8">
        <w:rPr>
          <w:lang w:val="fr-FR"/>
        </w:rPr>
        <w:t>obligation de poser une question préjudicielle aux termes de l</w:t>
      </w:r>
      <w:r>
        <w:rPr>
          <w:lang w:val="fr-FR"/>
        </w:rPr>
        <w:t>’article </w:t>
      </w:r>
      <w:r w:rsidRPr="002A21D8">
        <w:rPr>
          <w:lang w:val="fr-FR"/>
        </w:rPr>
        <w:t>267 §</w:t>
      </w:r>
      <w:r>
        <w:rPr>
          <w:lang w:val="fr-FR"/>
        </w:rPr>
        <w:t> </w:t>
      </w:r>
      <w:r w:rsidRPr="002A21D8">
        <w:rPr>
          <w:lang w:val="fr-FR"/>
        </w:rPr>
        <w:t>3 du Traité sur le fonctionnement de l</w:t>
      </w:r>
      <w:r>
        <w:rPr>
          <w:lang w:val="fr-FR"/>
        </w:rPr>
        <w:t>’</w:t>
      </w:r>
      <w:r w:rsidRPr="002A21D8">
        <w:rPr>
          <w:lang w:val="fr-FR"/>
        </w:rPr>
        <w:t>UE ainsi que de l</w:t>
      </w:r>
      <w:r>
        <w:rPr>
          <w:lang w:val="fr-FR"/>
        </w:rPr>
        <w:t>’</w:t>
      </w:r>
      <w:r w:rsidRPr="002A21D8">
        <w:rPr>
          <w:lang w:val="fr-FR"/>
        </w:rPr>
        <w:t>éventuelle incompatibilité de la décision de justice interne avec l</w:t>
      </w:r>
      <w:r>
        <w:rPr>
          <w:lang w:val="fr-FR"/>
        </w:rPr>
        <w:t>’</w:t>
      </w:r>
      <w:r w:rsidRPr="002A21D8">
        <w:rPr>
          <w:lang w:val="fr-FR"/>
        </w:rPr>
        <w:t>interprétation du droit de l</w:t>
      </w:r>
      <w:r>
        <w:rPr>
          <w:lang w:val="fr-FR"/>
        </w:rPr>
        <w:t>’</w:t>
      </w:r>
      <w:r w:rsidRPr="002A21D8">
        <w:rPr>
          <w:lang w:val="fr-FR"/>
        </w:rPr>
        <w:t xml:space="preserve">UE par la </w:t>
      </w:r>
      <w:r>
        <w:rPr>
          <w:lang w:val="fr-FR"/>
        </w:rPr>
        <w:t>CJCE</w:t>
      </w:r>
      <w:r w:rsidRPr="002A21D8">
        <w:rPr>
          <w:lang w:val="fr-FR"/>
        </w:rPr>
        <w:t>. La loi n</w:t>
      </w:r>
      <w:r w:rsidRPr="000B2C31">
        <w:rPr>
          <w:vertAlign w:val="superscript"/>
          <w:lang w:val="fr-FR"/>
        </w:rPr>
        <w:t>o</w:t>
      </w:r>
      <w:r w:rsidRPr="002A21D8">
        <w:rPr>
          <w:lang w:val="fr-FR"/>
        </w:rPr>
        <w:t> 18 de 2015 a en outre porté de deux à trois ans le délai prévu à l</w:t>
      </w:r>
      <w:r>
        <w:rPr>
          <w:lang w:val="fr-FR"/>
        </w:rPr>
        <w:t>’</w:t>
      </w:r>
      <w:r w:rsidRPr="002A21D8">
        <w:rPr>
          <w:lang w:val="fr-FR"/>
        </w:rPr>
        <w:t>article 4 § 2 de la loi n</w:t>
      </w:r>
      <w:r w:rsidRPr="000B2C31">
        <w:rPr>
          <w:vertAlign w:val="superscript"/>
          <w:lang w:val="fr-FR"/>
        </w:rPr>
        <w:t>o</w:t>
      </w:r>
      <w:r w:rsidRPr="002A21D8">
        <w:rPr>
          <w:lang w:val="fr-FR"/>
        </w:rPr>
        <w:t xml:space="preserve"> 117 de 1988 (paragraphe</w:t>
      </w:r>
      <w:r>
        <w:rPr>
          <w:lang w:val="fr-FR"/>
        </w:rPr>
        <w:t> </w:t>
      </w:r>
      <w:fldSimple w:instr=" REF legge117dell883 \h  \* MERGEFORMAT ">
        <w:r>
          <w:rPr>
            <w:rFonts w:eastAsia="Times New Roman"/>
            <w:noProof/>
            <w:szCs w:val="24"/>
            <w:lang w:val="fr-FR"/>
          </w:rPr>
          <w:t>31</w:t>
        </w:r>
      </w:fldSimple>
      <w:r w:rsidRPr="002A21D8">
        <w:rPr>
          <w:lang w:val="fr-FR"/>
        </w:rPr>
        <w:t xml:space="preserve"> ci-dessus).</w:t>
      </w:r>
    </w:p>
    <w:p w:rsidR="001F4B22" w:rsidRPr="00897A21" w:rsidRDefault="001F4B22" w:rsidP="00897A21">
      <w:pPr>
        <w:pStyle w:val="ECHRHeading2"/>
        <w:rPr>
          <w:lang w:val="fr-FR"/>
        </w:rPr>
      </w:pPr>
      <w:r w:rsidRPr="002A21D8">
        <w:rPr>
          <w:lang w:val="fr-FR"/>
        </w:rPr>
        <w:t xml:space="preserve">B.  La jurisprudence de la </w:t>
      </w:r>
      <w:r>
        <w:rPr>
          <w:lang w:val="fr-FR"/>
        </w:rPr>
        <w:t>CJCE</w:t>
      </w:r>
    </w:p>
    <w:bookmarkStart w:id="12" w:name="traghettidelmediterraneo"/>
    <w:p w:rsidR="001F4B22" w:rsidRDefault="001F4B22" w:rsidP="006B5462">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33</w:t>
      </w:r>
      <w:r>
        <w:rPr>
          <w:lang w:val="fr-FR"/>
        </w:rPr>
        <w:fldChar w:fldCharType="end"/>
      </w:r>
      <w:bookmarkEnd w:id="12"/>
      <w:r>
        <w:rPr>
          <w:lang w:val="fr-FR"/>
        </w:rPr>
        <w:t xml:space="preserve">.  Dans son arrêt </w:t>
      </w:r>
      <w:r w:rsidRPr="006B5462">
        <w:rPr>
          <w:i/>
          <w:lang w:val="fr-FR"/>
        </w:rPr>
        <w:t>Traghetti del Mediterraneo c.</w:t>
      </w:r>
      <w:r>
        <w:rPr>
          <w:i/>
          <w:lang w:val="fr-FR"/>
        </w:rPr>
        <w:t xml:space="preserve"> Italie</w:t>
      </w:r>
      <w:r w:rsidRPr="006B5462">
        <w:rPr>
          <w:i/>
          <w:lang w:val="fr-FR"/>
        </w:rPr>
        <w:t xml:space="preserve"> </w:t>
      </w:r>
      <w:r w:rsidRPr="006B5462">
        <w:rPr>
          <w:lang w:val="fr-FR"/>
        </w:rPr>
        <w:t>(13 juin 2006, affaire C-173/03)</w:t>
      </w:r>
      <w:r>
        <w:rPr>
          <w:lang w:val="fr-FR"/>
        </w:rPr>
        <w:t xml:space="preserve">, la CJCE a été appelée à se prononcer sur une question préjudicielle portant « sur le principe et les conditions d’engagement de la responsabilité contractuelle des États membres pour les dommages causés aux particuliers par une violation du droit communautaire, lorsque cette violation est imputable à une juridiction nationale ». La CJCE a rappelé que, dans son arrêt </w:t>
      </w:r>
      <w:r w:rsidRPr="00835CE2">
        <w:rPr>
          <w:i/>
          <w:lang w:val="fr-FR"/>
        </w:rPr>
        <w:t>K</w:t>
      </w:r>
      <w:r>
        <w:rPr>
          <w:i/>
          <w:lang w:val="fr-FR"/>
        </w:rPr>
        <w:t>ö</w:t>
      </w:r>
      <w:r w:rsidRPr="00835CE2">
        <w:rPr>
          <w:i/>
          <w:lang w:val="fr-FR"/>
        </w:rPr>
        <w:t>bler</w:t>
      </w:r>
      <w:r>
        <w:rPr>
          <w:i/>
          <w:lang w:val="fr-FR"/>
        </w:rPr>
        <w:t xml:space="preserve"> c. Autriche</w:t>
      </w:r>
      <w:r w:rsidRPr="00835CE2">
        <w:rPr>
          <w:i/>
          <w:lang w:val="fr-FR"/>
        </w:rPr>
        <w:t xml:space="preserve"> </w:t>
      </w:r>
      <w:r w:rsidRPr="00835CE2">
        <w:rPr>
          <w:lang w:val="fr-FR"/>
        </w:rPr>
        <w:t>(30 septembre 2003, affaire C-224/01)</w:t>
      </w:r>
      <w:r>
        <w:rPr>
          <w:lang w:val="fr-FR"/>
        </w:rPr>
        <w:t xml:space="preserve">, elle avait réaffirmé </w:t>
      </w:r>
      <w:r w:rsidRPr="0093510E">
        <w:rPr>
          <w:lang w:val="fr-FR"/>
        </w:rPr>
        <w:t xml:space="preserve">que le principe selon lequel un État membre </w:t>
      </w:r>
      <w:r>
        <w:rPr>
          <w:lang w:val="fr-FR"/>
        </w:rPr>
        <w:t>était</w:t>
      </w:r>
      <w:r w:rsidRPr="0093510E">
        <w:rPr>
          <w:lang w:val="fr-FR"/>
        </w:rPr>
        <w:t xml:space="preserve"> obligé de réparer les dommages causés aux particuliers par des violations du droit communautaire qui lui </w:t>
      </w:r>
      <w:r>
        <w:rPr>
          <w:lang w:val="fr-FR"/>
        </w:rPr>
        <w:t>étaient</w:t>
      </w:r>
      <w:r w:rsidRPr="0093510E">
        <w:rPr>
          <w:lang w:val="fr-FR"/>
        </w:rPr>
        <w:t xml:space="preserve"> imputables </w:t>
      </w:r>
      <w:r>
        <w:rPr>
          <w:lang w:val="fr-FR"/>
        </w:rPr>
        <w:t>était</w:t>
      </w:r>
      <w:r w:rsidRPr="0093510E">
        <w:rPr>
          <w:lang w:val="fr-FR"/>
        </w:rPr>
        <w:t xml:space="preserve"> valable pour tout </w:t>
      </w:r>
      <w:r>
        <w:rPr>
          <w:lang w:val="fr-FR"/>
        </w:rPr>
        <w:t xml:space="preserve">type </w:t>
      </w:r>
      <w:r w:rsidRPr="0093510E">
        <w:rPr>
          <w:lang w:val="fr-FR"/>
        </w:rPr>
        <w:t xml:space="preserve">de violation du droit communautaire, et ce quel que </w:t>
      </w:r>
      <w:r>
        <w:rPr>
          <w:lang w:val="fr-FR"/>
        </w:rPr>
        <w:t>fût</w:t>
      </w:r>
      <w:r w:rsidRPr="0093510E">
        <w:rPr>
          <w:lang w:val="fr-FR"/>
        </w:rPr>
        <w:t xml:space="preserve"> l</w:t>
      </w:r>
      <w:r>
        <w:rPr>
          <w:lang w:val="fr-FR"/>
        </w:rPr>
        <w:t>’</w:t>
      </w:r>
      <w:r w:rsidRPr="0093510E">
        <w:rPr>
          <w:lang w:val="fr-FR"/>
        </w:rPr>
        <w:t>organe de cet État dont l</w:t>
      </w:r>
      <w:r>
        <w:rPr>
          <w:lang w:val="fr-FR"/>
        </w:rPr>
        <w:t>’</w:t>
      </w:r>
      <w:r w:rsidRPr="0093510E">
        <w:rPr>
          <w:lang w:val="fr-FR"/>
        </w:rPr>
        <w:t>action ou l</w:t>
      </w:r>
      <w:r>
        <w:rPr>
          <w:lang w:val="fr-FR"/>
        </w:rPr>
        <w:t>’</w:t>
      </w:r>
      <w:r w:rsidRPr="0093510E">
        <w:rPr>
          <w:lang w:val="fr-FR"/>
        </w:rPr>
        <w:t xml:space="preserve">omission </w:t>
      </w:r>
      <w:r>
        <w:rPr>
          <w:lang w:val="fr-FR"/>
        </w:rPr>
        <w:t>était</w:t>
      </w:r>
      <w:r w:rsidRPr="0093510E">
        <w:rPr>
          <w:lang w:val="fr-FR"/>
        </w:rPr>
        <w:t xml:space="preserve"> à l</w:t>
      </w:r>
      <w:r>
        <w:rPr>
          <w:lang w:val="fr-FR"/>
        </w:rPr>
        <w:t>’</w:t>
      </w:r>
      <w:r w:rsidRPr="0093510E">
        <w:rPr>
          <w:lang w:val="fr-FR"/>
        </w:rPr>
        <w:t>origine du manquement</w:t>
      </w:r>
      <w:r>
        <w:rPr>
          <w:lang w:val="fr-FR"/>
        </w:rPr>
        <w:t xml:space="preserve">. Dès lors, selon la CJCE, </w:t>
      </w:r>
      <w:r w:rsidRPr="0093510E">
        <w:rPr>
          <w:lang w:val="fr-FR"/>
        </w:rPr>
        <w:t xml:space="preserve">les particuliers </w:t>
      </w:r>
      <w:r>
        <w:rPr>
          <w:lang w:val="fr-FR"/>
        </w:rPr>
        <w:t>devaient</w:t>
      </w:r>
      <w:r w:rsidRPr="0093510E">
        <w:rPr>
          <w:lang w:val="fr-FR"/>
        </w:rPr>
        <w:t xml:space="preserve">, sous certaines conditions, obtenir </w:t>
      </w:r>
      <w:r>
        <w:rPr>
          <w:lang w:val="fr-FR"/>
        </w:rPr>
        <w:t xml:space="preserve">la </w:t>
      </w:r>
      <w:r w:rsidRPr="0093510E">
        <w:rPr>
          <w:lang w:val="fr-FR"/>
        </w:rPr>
        <w:t xml:space="preserve">réparation des préjudices qui leur </w:t>
      </w:r>
      <w:r>
        <w:rPr>
          <w:lang w:val="fr-FR"/>
        </w:rPr>
        <w:t>avaient été</w:t>
      </w:r>
      <w:r w:rsidRPr="0093510E">
        <w:rPr>
          <w:lang w:val="fr-FR"/>
        </w:rPr>
        <w:t xml:space="preserve"> causés par une violation du droit communautaire imputable à une décision d</w:t>
      </w:r>
      <w:r>
        <w:rPr>
          <w:lang w:val="fr-FR"/>
        </w:rPr>
        <w:t>’</w:t>
      </w:r>
      <w:r w:rsidRPr="0093510E">
        <w:rPr>
          <w:lang w:val="fr-FR"/>
        </w:rPr>
        <w:t xml:space="preserve">une juridiction nationale statuant </w:t>
      </w:r>
      <w:r w:rsidRPr="009C13EC">
        <w:rPr>
          <w:lang w:val="fr-FR"/>
        </w:rPr>
        <w:t xml:space="preserve">en dernier ressort. </w:t>
      </w:r>
      <w:r>
        <w:rPr>
          <w:lang w:val="fr-FR"/>
        </w:rPr>
        <w:t xml:space="preserve">La CJCE a admis que </w:t>
      </w:r>
      <w:r w:rsidRPr="009C13EC">
        <w:rPr>
          <w:lang w:val="fr-FR"/>
        </w:rPr>
        <w:t>la responsabilité de l</w:t>
      </w:r>
      <w:r>
        <w:rPr>
          <w:lang w:val="fr-FR"/>
        </w:rPr>
        <w:t>’</w:t>
      </w:r>
      <w:r w:rsidRPr="009C13EC">
        <w:rPr>
          <w:lang w:val="fr-FR"/>
        </w:rPr>
        <w:t>État dans ce secteur n</w:t>
      </w:r>
      <w:r>
        <w:rPr>
          <w:lang w:val="fr-FR"/>
        </w:rPr>
        <w:t>’</w:t>
      </w:r>
      <w:r w:rsidRPr="009C13EC">
        <w:rPr>
          <w:lang w:val="fr-FR"/>
        </w:rPr>
        <w:t>était</w:t>
      </w:r>
      <w:r>
        <w:rPr>
          <w:lang w:val="fr-FR"/>
        </w:rPr>
        <w:t xml:space="preserve"> pas illimitée et qu’elle n’était engagée que dans le cas exceptionnel où la juridiction nationale en question avait « méconnu de manière manifeste le droit applicable ». Elle a ajouté qu’une telle « violation manifeste » pouvait être commise dans l’exercice, par le juge national, de son activité interprétative, en particulier dans les deux hypothèses suivantes :</w:t>
      </w:r>
    </w:p>
    <w:p w:rsidR="001F4B22" w:rsidRDefault="001F4B22" w:rsidP="006B5462">
      <w:pPr>
        <w:pStyle w:val="ECHRPara"/>
        <w:rPr>
          <w:lang w:val="fr-FR"/>
        </w:rPr>
      </w:pPr>
      <w:r w:rsidRPr="00F50223">
        <w:rPr>
          <w:rFonts w:eastAsia="Times New Roman"/>
          <w:color w:val="000000"/>
          <w:szCs w:val="24"/>
          <w:lang w:val="fr-FR" w:eastAsia="it-IT"/>
        </w:rPr>
        <w:t>–</w:t>
      </w:r>
      <w:r>
        <w:rPr>
          <w:lang w:val="fr-FR"/>
        </w:rPr>
        <w:t>  </w:t>
      </w:r>
      <w:r w:rsidRPr="00044EEF">
        <w:rPr>
          <w:lang w:val="fr-FR"/>
        </w:rPr>
        <w:t>si le juge donn</w:t>
      </w:r>
      <w:r>
        <w:rPr>
          <w:lang w:val="fr-FR"/>
        </w:rPr>
        <w:t>ait</w:t>
      </w:r>
      <w:r w:rsidRPr="00044EEF">
        <w:rPr>
          <w:lang w:val="fr-FR"/>
        </w:rPr>
        <w:t xml:space="preserve"> à une règle de droit matériel ou procédural communautaire une portée manifestement erronée, notamment au regard de la jurisprudence pertinente de la </w:t>
      </w:r>
      <w:r>
        <w:rPr>
          <w:lang w:val="fr-FR"/>
        </w:rPr>
        <w:t>CJCE</w:t>
      </w:r>
      <w:r w:rsidRPr="00044EEF">
        <w:rPr>
          <w:lang w:val="fr-FR"/>
        </w:rPr>
        <w:t xml:space="preserve"> en cette matière</w:t>
      </w:r>
      <w:r>
        <w:rPr>
          <w:lang w:val="fr-FR"/>
        </w:rPr>
        <w:t> ;</w:t>
      </w:r>
    </w:p>
    <w:p w:rsidR="001F4B22" w:rsidRDefault="001F4B22" w:rsidP="006B5462">
      <w:pPr>
        <w:pStyle w:val="ECHRPara"/>
        <w:rPr>
          <w:lang w:val="fr-FR"/>
        </w:rPr>
      </w:pPr>
      <w:r w:rsidRPr="006B5C08">
        <w:rPr>
          <w:rFonts w:eastAsia="Times New Roman"/>
          <w:color w:val="000000"/>
          <w:szCs w:val="24"/>
          <w:lang w:val="fr-FR" w:eastAsia="it-IT"/>
        </w:rPr>
        <w:t>–</w:t>
      </w:r>
      <w:r w:rsidRPr="006B5C08">
        <w:rPr>
          <w:lang w:val="fr-FR"/>
        </w:rPr>
        <w:t>  si son interprétation du droit national était telle qu</w:t>
      </w:r>
      <w:r>
        <w:rPr>
          <w:lang w:val="fr-FR"/>
        </w:rPr>
        <w:t>’</w:t>
      </w:r>
      <w:r w:rsidRPr="006B5C08">
        <w:rPr>
          <w:lang w:val="fr-FR"/>
        </w:rPr>
        <w:t>elle aboutissait, en</w:t>
      </w:r>
      <w:r w:rsidRPr="00044EEF">
        <w:rPr>
          <w:lang w:val="fr-FR"/>
        </w:rPr>
        <w:t xml:space="preserve"> pratique, à la violation du droit communautaire applicable</w:t>
      </w:r>
      <w:r>
        <w:rPr>
          <w:lang w:val="fr-FR"/>
        </w:rPr>
        <w:t>.</w:t>
      </w:r>
    </w:p>
    <w:p w:rsidR="001F4B22" w:rsidRPr="00F50223" w:rsidRDefault="001F4B22" w:rsidP="006B5462">
      <w:pPr>
        <w:pStyle w:val="ECHRPara"/>
        <w:rPr>
          <w:lang w:val="fr-FR"/>
        </w:rPr>
      </w:pPr>
      <w:r>
        <w:rPr>
          <w:lang w:val="fr-FR"/>
        </w:rPr>
        <w:t>Pour la CJCE, c</w:t>
      </w:r>
      <w:r w:rsidRPr="00F50223">
        <w:rPr>
          <w:lang w:val="fr-FR"/>
        </w:rPr>
        <w:t>ette méconnaissance manifeste s</w:t>
      </w:r>
      <w:r>
        <w:rPr>
          <w:lang w:val="fr-FR"/>
        </w:rPr>
        <w:t>’</w:t>
      </w:r>
      <w:r w:rsidRPr="00F50223">
        <w:rPr>
          <w:lang w:val="fr-FR"/>
        </w:rPr>
        <w:t>appréci</w:t>
      </w:r>
      <w:r>
        <w:rPr>
          <w:lang w:val="fr-FR"/>
        </w:rPr>
        <w:t xml:space="preserve">ait </w:t>
      </w:r>
      <w:r w:rsidRPr="00F50223">
        <w:rPr>
          <w:lang w:val="fr-FR"/>
        </w:rPr>
        <w:t>notamment au regard d</w:t>
      </w:r>
      <w:r>
        <w:rPr>
          <w:lang w:val="fr-FR"/>
        </w:rPr>
        <w:t>’</w:t>
      </w:r>
      <w:r w:rsidRPr="00F50223">
        <w:rPr>
          <w:lang w:val="fr-FR"/>
        </w:rPr>
        <w:t>un certain nombre de critères tels que le degré de clarté et de précision de la règle violée, le caractère excusable ou inexcusable de l</w:t>
      </w:r>
      <w:r>
        <w:rPr>
          <w:lang w:val="fr-FR"/>
        </w:rPr>
        <w:t>’</w:t>
      </w:r>
      <w:r w:rsidRPr="00F50223">
        <w:rPr>
          <w:lang w:val="fr-FR"/>
        </w:rPr>
        <w:t>erreur de droit commise ou l</w:t>
      </w:r>
      <w:r>
        <w:rPr>
          <w:lang w:val="fr-FR"/>
        </w:rPr>
        <w:t>’</w:t>
      </w:r>
      <w:r w:rsidRPr="00F50223">
        <w:rPr>
          <w:lang w:val="fr-FR"/>
        </w:rPr>
        <w:t>inexécution, par la juridiction en cause, de son obligation de renvoi préjudiciel</w:t>
      </w:r>
      <w:r>
        <w:rPr>
          <w:lang w:val="fr-FR"/>
        </w:rPr>
        <w:t>,</w:t>
      </w:r>
      <w:r w:rsidRPr="00F50223">
        <w:rPr>
          <w:lang w:val="fr-FR"/>
        </w:rPr>
        <w:t xml:space="preserve"> et </w:t>
      </w:r>
      <w:r>
        <w:rPr>
          <w:lang w:val="fr-FR"/>
        </w:rPr>
        <w:t>elle était</w:t>
      </w:r>
      <w:r w:rsidRPr="00F50223">
        <w:rPr>
          <w:lang w:val="fr-FR"/>
        </w:rPr>
        <w:t xml:space="preserve"> présumée, en tout état de cause, lorsque la décision concernée interven</w:t>
      </w:r>
      <w:r>
        <w:rPr>
          <w:lang w:val="fr-FR"/>
        </w:rPr>
        <w:t>ait</w:t>
      </w:r>
      <w:r w:rsidRPr="00F50223">
        <w:rPr>
          <w:lang w:val="fr-FR"/>
        </w:rPr>
        <w:t xml:space="preserve"> en méconnaissance manifeste de la jurisprudence de la </w:t>
      </w:r>
      <w:r>
        <w:rPr>
          <w:lang w:val="fr-FR"/>
        </w:rPr>
        <w:t>CJCE</w:t>
      </w:r>
      <w:r w:rsidRPr="00F50223">
        <w:rPr>
          <w:lang w:val="fr-FR"/>
        </w:rPr>
        <w:t xml:space="preserve"> en la matière</w:t>
      </w:r>
      <w:r>
        <w:rPr>
          <w:lang w:val="fr-FR"/>
        </w:rPr>
        <w:t>.</w:t>
      </w:r>
    </w:p>
    <w:bookmarkStart w:id="13" w:name="traghettidelmediterraneo2"/>
    <w:p w:rsidR="001F4B22" w:rsidRDefault="001F4B22" w:rsidP="006B5462">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34</w:t>
      </w:r>
      <w:r>
        <w:rPr>
          <w:lang w:val="fr-FR"/>
        </w:rPr>
        <w:fldChar w:fldCharType="end"/>
      </w:r>
      <w:bookmarkEnd w:id="13"/>
      <w:r>
        <w:rPr>
          <w:lang w:val="fr-FR"/>
        </w:rPr>
        <w:t xml:space="preserve">.  Développant les principes énoncés dans l’arrêt </w:t>
      </w:r>
      <w:r w:rsidRPr="00835CE2">
        <w:rPr>
          <w:i/>
          <w:lang w:val="fr-FR"/>
        </w:rPr>
        <w:t>K</w:t>
      </w:r>
      <w:r>
        <w:rPr>
          <w:i/>
          <w:lang w:val="fr-FR"/>
        </w:rPr>
        <w:t>ö</w:t>
      </w:r>
      <w:r w:rsidRPr="00835CE2">
        <w:rPr>
          <w:i/>
          <w:lang w:val="fr-FR"/>
        </w:rPr>
        <w:t>bler</w:t>
      </w:r>
      <w:r>
        <w:rPr>
          <w:lang w:val="fr-FR"/>
        </w:rPr>
        <w:t xml:space="preserve">, la CJCE a ensuite affirmé la contrariété au droit communautaire d’une </w:t>
      </w:r>
      <w:r w:rsidRPr="00122C60">
        <w:rPr>
          <w:lang w:val="fr-FR"/>
        </w:rPr>
        <w:t>législation qui exclurait, de manière générale, tout engagement de la responsabilité de l</w:t>
      </w:r>
      <w:r>
        <w:rPr>
          <w:lang w:val="fr-FR"/>
        </w:rPr>
        <w:t>’</w:t>
      </w:r>
      <w:r w:rsidRPr="00122C60">
        <w:rPr>
          <w:lang w:val="fr-FR"/>
        </w:rPr>
        <w:t>État lorsque la violation imputable à une juridiction de cet État résult</w:t>
      </w:r>
      <w:r>
        <w:rPr>
          <w:lang w:val="fr-FR"/>
        </w:rPr>
        <w:t>ait</w:t>
      </w:r>
      <w:r w:rsidRPr="00122C60">
        <w:rPr>
          <w:lang w:val="fr-FR"/>
        </w:rPr>
        <w:t xml:space="preserve"> d</w:t>
      </w:r>
      <w:r>
        <w:rPr>
          <w:lang w:val="fr-FR"/>
        </w:rPr>
        <w:t>’</w:t>
      </w:r>
      <w:r w:rsidRPr="00122C60">
        <w:rPr>
          <w:lang w:val="fr-FR"/>
        </w:rPr>
        <w:t>une appréciation des faits et des preuves.</w:t>
      </w:r>
      <w:r>
        <w:rPr>
          <w:lang w:val="fr-FR"/>
        </w:rPr>
        <w:t xml:space="preserve"> En effet, selon la CJCE, une telle appréciation pouvait également conduire, dans certains cas, à une violation manifeste du droit applicable. Toujours d’après elle, si le droit national pouvait préciser les critères devant être remplis pour que la responsabilité de l’État pût être engagée, ces critères ne pouvaient cependant imposer des exigences plus strictes que celles découlant de la condition d’une méconnaissance manifeste du droit applicable. La CJCE a précisé que le particulier avait droit à réparation </w:t>
      </w:r>
      <w:r w:rsidRPr="005F73B6">
        <w:rPr>
          <w:lang w:val="fr-FR"/>
        </w:rPr>
        <w:t xml:space="preserve">dès </w:t>
      </w:r>
      <w:r>
        <w:rPr>
          <w:lang w:val="fr-FR"/>
        </w:rPr>
        <w:t xml:space="preserve">lors </w:t>
      </w:r>
      <w:r w:rsidRPr="005F73B6">
        <w:rPr>
          <w:lang w:val="fr-FR"/>
        </w:rPr>
        <w:t>qu</w:t>
      </w:r>
      <w:r>
        <w:rPr>
          <w:lang w:val="fr-FR"/>
        </w:rPr>
        <w:t>’</w:t>
      </w:r>
      <w:r w:rsidRPr="005F73B6">
        <w:rPr>
          <w:lang w:val="fr-FR"/>
        </w:rPr>
        <w:t xml:space="preserve">il </w:t>
      </w:r>
      <w:r>
        <w:rPr>
          <w:lang w:val="fr-FR"/>
        </w:rPr>
        <w:t xml:space="preserve">était </w:t>
      </w:r>
      <w:r w:rsidRPr="005F73B6">
        <w:rPr>
          <w:lang w:val="fr-FR"/>
        </w:rPr>
        <w:t>ét</w:t>
      </w:r>
      <w:r>
        <w:rPr>
          <w:lang w:val="fr-FR"/>
        </w:rPr>
        <w:t>abli</w:t>
      </w:r>
      <w:r w:rsidRPr="005F73B6">
        <w:rPr>
          <w:lang w:val="fr-FR"/>
        </w:rPr>
        <w:t xml:space="preserve"> que la règle de droit </w:t>
      </w:r>
      <w:r>
        <w:rPr>
          <w:lang w:val="fr-FR"/>
        </w:rPr>
        <w:t xml:space="preserve">communautaire manifestement </w:t>
      </w:r>
      <w:r w:rsidRPr="005F73B6">
        <w:rPr>
          <w:lang w:val="fr-FR"/>
        </w:rPr>
        <w:t>violée a</w:t>
      </w:r>
      <w:r>
        <w:rPr>
          <w:lang w:val="fr-FR"/>
        </w:rPr>
        <w:t>vait</w:t>
      </w:r>
      <w:r w:rsidRPr="005F73B6">
        <w:rPr>
          <w:lang w:val="fr-FR"/>
        </w:rPr>
        <w:t xml:space="preserve"> pour objet de</w:t>
      </w:r>
      <w:r>
        <w:rPr>
          <w:lang w:val="fr-FR"/>
        </w:rPr>
        <w:t xml:space="preserve"> lui</w:t>
      </w:r>
      <w:r w:rsidRPr="005F73B6">
        <w:rPr>
          <w:lang w:val="fr-FR"/>
        </w:rPr>
        <w:t xml:space="preserve"> conférer des droits et qu</w:t>
      </w:r>
      <w:r>
        <w:rPr>
          <w:lang w:val="fr-FR"/>
        </w:rPr>
        <w:t>’</w:t>
      </w:r>
      <w:r w:rsidRPr="005F73B6">
        <w:rPr>
          <w:lang w:val="fr-FR"/>
        </w:rPr>
        <w:t>il exist</w:t>
      </w:r>
      <w:r>
        <w:rPr>
          <w:lang w:val="fr-FR"/>
        </w:rPr>
        <w:t>ait</w:t>
      </w:r>
      <w:r w:rsidRPr="005F73B6">
        <w:rPr>
          <w:lang w:val="fr-FR"/>
        </w:rPr>
        <w:t xml:space="preserve"> un lien de causalité direct entre la violation </w:t>
      </w:r>
      <w:r>
        <w:rPr>
          <w:lang w:val="fr-FR"/>
        </w:rPr>
        <w:t>dénonc</w:t>
      </w:r>
      <w:r w:rsidRPr="005F73B6">
        <w:rPr>
          <w:lang w:val="fr-FR"/>
        </w:rPr>
        <w:t>ée et le dommage subi par l</w:t>
      </w:r>
      <w:r>
        <w:rPr>
          <w:lang w:val="fr-FR"/>
        </w:rPr>
        <w:t>’</w:t>
      </w:r>
      <w:r w:rsidRPr="005F73B6">
        <w:rPr>
          <w:lang w:val="fr-FR"/>
        </w:rPr>
        <w:t>intéressé</w:t>
      </w:r>
      <w:r>
        <w:rPr>
          <w:lang w:val="fr-FR"/>
        </w:rPr>
        <w:t xml:space="preserve">. Elle a ajouté que le droit communautaire </w:t>
      </w:r>
      <w:r w:rsidRPr="00ED3B3E">
        <w:rPr>
          <w:lang w:val="fr-FR"/>
        </w:rPr>
        <w:t>s</w:t>
      </w:r>
      <w:r>
        <w:rPr>
          <w:lang w:val="fr-FR"/>
        </w:rPr>
        <w:t>’</w:t>
      </w:r>
      <w:r w:rsidRPr="00ED3B3E">
        <w:rPr>
          <w:lang w:val="fr-FR"/>
        </w:rPr>
        <w:t>oppos</w:t>
      </w:r>
      <w:r>
        <w:rPr>
          <w:lang w:val="fr-FR"/>
        </w:rPr>
        <w:t>ait</w:t>
      </w:r>
      <w:r w:rsidRPr="00ED3B3E">
        <w:rPr>
          <w:lang w:val="fr-FR"/>
        </w:rPr>
        <w:t xml:space="preserve"> également à une législation nationale qui </w:t>
      </w:r>
      <w:r>
        <w:rPr>
          <w:lang w:val="fr-FR"/>
        </w:rPr>
        <w:t xml:space="preserve">– comme celle de l’Italie à cette époque (paragraphes </w:t>
      </w:r>
      <w:fldSimple w:instr=" REF legge117dell881 \h  \* MERGEFORMAT ">
        <w:r>
          <w:rPr>
            <w:noProof/>
            <w:szCs w:val="24"/>
            <w:lang w:val="fr-FR"/>
          </w:rPr>
          <w:t>29</w:t>
        </w:r>
      </w:fldSimple>
      <w:r>
        <w:rPr>
          <w:lang w:val="fr-FR"/>
        </w:rPr>
        <w:t>-</w:t>
      </w:r>
      <w:fldSimple w:instr=" REF legge117dell883 \h  \* MERGEFORMAT ">
        <w:r>
          <w:rPr>
            <w:rFonts w:eastAsia="Times New Roman"/>
            <w:noProof/>
            <w:szCs w:val="24"/>
            <w:lang w:val="fr-FR"/>
          </w:rPr>
          <w:t>31</w:t>
        </w:r>
      </w:fldSimple>
      <w:r>
        <w:rPr>
          <w:lang w:val="fr-FR"/>
        </w:rPr>
        <w:t xml:space="preserve"> ci-dessus) – </w:t>
      </w:r>
      <w:r w:rsidRPr="00ED3B3E">
        <w:rPr>
          <w:lang w:val="fr-FR"/>
        </w:rPr>
        <w:t>limit</w:t>
      </w:r>
      <w:r>
        <w:rPr>
          <w:lang w:val="fr-FR"/>
        </w:rPr>
        <w:t>ait</w:t>
      </w:r>
      <w:r w:rsidRPr="00ED3B3E">
        <w:rPr>
          <w:lang w:val="fr-FR"/>
        </w:rPr>
        <w:t xml:space="preserve"> l</w:t>
      </w:r>
      <w:r>
        <w:rPr>
          <w:lang w:val="fr-FR"/>
        </w:rPr>
        <w:t>’</w:t>
      </w:r>
      <w:r w:rsidRPr="00ED3B3E">
        <w:rPr>
          <w:lang w:val="fr-FR"/>
        </w:rPr>
        <w:t xml:space="preserve">engagement de </w:t>
      </w:r>
      <w:r>
        <w:rPr>
          <w:lang w:val="fr-FR"/>
        </w:rPr>
        <w:t>la</w:t>
      </w:r>
      <w:r w:rsidRPr="00ED3B3E">
        <w:rPr>
          <w:lang w:val="fr-FR"/>
        </w:rPr>
        <w:t xml:space="preserve"> responsabilité</w:t>
      </w:r>
      <w:r>
        <w:rPr>
          <w:lang w:val="fr-FR"/>
        </w:rPr>
        <w:t xml:space="preserve"> étatique</w:t>
      </w:r>
      <w:r w:rsidRPr="00ED3B3E">
        <w:rPr>
          <w:lang w:val="fr-FR"/>
        </w:rPr>
        <w:t xml:space="preserve"> aux seuls cas du dol ou de la faute grave du juge, si une telle limitation conduisait à exclure l</w:t>
      </w:r>
      <w:r>
        <w:rPr>
          <w:lang w:val="fr-FR"/>
        </w:rPr>
        <w:t>’</w:t>
      </w:r>
      <w:r w:rsidRPr="00ED3B3E">
        <w:rPr>
          <w:lang w:val="fr-FR"/>
        </w:rPr>
        <w:t>engagement de la responsabilité de l</w:t>
      </w:r>
      <w:r>
        <w:rPr>
          <w:lang w:val="fr-FR"/>
        </w:rPr>
        <w:t>’</w:t>
      </w:r>
      <w:r w:rsidRPr="00ED3B3E">
        <w:rPr>
          <w:lang w:val="fr-FR"/>
        </w:rPr>
        <w:t>État membre concerné dans d</w:t>
      </w:r>
      <w:r>
        <w:rPr>
          <w:lang w:val="fr-FR"/>
        </w:rPr>
        <w:t>’</w:t>
      </w:r>
      <w:r w:rsidRPr="00ED3B3E">
        <w:rPr>
          <w:lang w:val="fr-FR"/>
        </w:rPr>
        <w:t>autres cas où une méconnaissance manifeste du droit applicable</w:t>
      </w:r>
      <w:r>
        <w:rPr>
          <w:lang w:val="fr-FR"/>
        </w:rPr>
        <w:t xml:space="preserve"> avait été commise.</w:t>
      </w:r>
    </w:p>
    <w:bookmarkStart w:id="14" w:name="traghettidelmediterraneoconclusioni"/>
    <w:p w:rsidR="001F4B22" w:rsidRDefault="001F4B22" w:rsidP="00F5022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35</w:t>
      </w:r>
      <w:r>
        <w:rPr>
          <w:lang w:val="fr-FR"/>
        </w:rPr>
        <w:fldChar w:fldCharType="end"/>
      </w:r>
      <w:bookmarkEnd w:id="14"/>
      <w:r>
        <w:rPr>
          <w:lang w:val="fr-FR"/>
        </w:rPr>
        <w:t>.  À la lumière des considérations qui précèdent, la CJCE a énoncé,</w:t>
      </w:r>
      <w:r w:rsidRPr="00453DE0">
        <w:rPr>
          <w:lang w:val="fr-FR"/>
        </w:rPr>
        <w:t xml:space="preserve"> </w:t>
      </w:r>
      <w:r>
        <w:rPr>
          <w:lang w:val="fr-FR"/>
        </w:rPr>
        <w:t xml:space="preserve">dans son arrêt </w:t>
      </w:r>
      <w:r w:rsidRPr="006B5462">
        <w:rPr>
          <w:i/>
          <w:lang w:val="fr-FR"/>
        </w:rPr>
        <w:t>Traghetti del Mediterraneo</w:t>
      </w:r>
      <w:r w:rsidRPr="0033215C">
        <w:rPr>
          <w:lang w:val="fr-FR"/>
        </w:rPr>
        <w:t>,</w:t>
      </w:r>
      <w:r>
        <w:rPr>
          <w:lang w:val="fr-FR"/>
        </w:rPr>
        <w:t xml:space="preserve"> les principes de droit suivants :</w:t>
      </w:r>
    </w:p>
    <w:p w:rsidR="001F4B22" w:rsidRPr="00F50223" w:rsidRDefault="001F4B22" w:rsidP="0033215C">
      <w:pPr>
        <w:pStyle w:val="ECHRParaQuote"/>
        <w:rPr>
          <w:lang w:val="fr-FR"/>
        </w:rPr>
      </w:pPr>
      <w:r>
        <w:rPr>
          <w:lang w:val="fr-FR"/>
        </w:rPr>
        <w:t> </w:t>
      </w:r>
      <w:r w:rsidRPr="00F50223">
        <w:rPr>
          <w:lang w:val="fr-FR"/>
        </w:rPr>
        <w:t>« </w:t>
      </w:r>
      <w:r>
        <w:rPr>
          <w:lang w:val="fr-FR"/>
        </w:rPr>
        <w:t xml:space="preserve">46.  (...) </w:t>
      </w:r>
      <w:r w:rsidRPr="00F50223">
        <w:rPr>
          <w:lang w:val="fr-FR"/>
        </w:rPr>
        <w:t>Le droit communautaire s</w:t>
      </w:r>
      <w:r>
        <w:rPr>
          <w:lang w:val="fr-FR"/>
        </w:rPr>
        <w:t>’</w:t>
      </w:r>
      <w:r w:rsidRPr="00F50223">
        <w:rPr>
          <w:lang w:val="fr-FR"/>
        </w:rPr>
        <w:t>oppose à une législation nationale qui exclut, de manière générale, la responsabilité de l</w:t>
      </w:r>
      <w:r>
        <w:rPr>
          <w:lang w:val="fr-FR"/>
        </w:rPr>
        <w:t>’</w:t>
      </w:r>
      <w:r w:rsidRPr="00F50223">
        <w:rPr>
          <w:lang w:val="fr-FR"/>
        </w:rPr>
        <w:t>État membre pour les dommages causés aux particuliers du fait d</w:t>
      </w:r>
      <w:r>
        <w:rPr>
          <w:lang w:val="fr-FR"/>
        </w:rPr>
        <w:t>’</w:t>
      </w:r>
      <w:r w:rsidRPr="00F50223">
        <w:rPr>
          <w:lang w:val="fr-FR"/>
        </w:rPr>
        <w:t>une violation du droit communautaire imputable à une juridiction statuant en dernier ressort au motif que la violation en cause résulte d</w:t>
      </w:r>
      <w:r>
        <w:rPr>
          <w:lang w:val="fr-FR"/>
        </w:rPr>
        <w:t>’</w:t>
      </w:r>
      <w:r w:rsidRPr="00F50223">
        <w:rPr>
          <w:lang w:val="fr-FR"/>
        </w:rPr>
        <w:t>une interprétation des règles de droit ou d</w:t>
      </w:r>
      <w:r>
        <w:rPr>
          <w:lang w:val="fr-FR"/>
        </w:rPr>
        <w:t>’</w:t>
      </w:r>
      <w:r w:rsidRPr="00F50223">
        <w:rPr>
          <w:lang w:val="fr-FR"/>
        </w:rPr>
        <w:t>une appréciation des faits et des preuves effectuées par cette juridiction</w:t>
      </w:r>
      <w:r>
        <w:rPr>
          <w:lang w:val="fr-FR"/>
        </w:rPr>
        <w:t>. »</w:t>
      </w:r>
    </w:p>
    <w:p w:rsidR="001F4B22" w:rsidRPr="00F50223" w:rsidRDefault="001F4B22" w:rsidP="0033215C">
      <w:pPr>
        <w:pStyle w:val="ECHRParaQuote"/>
        <w:rPr>
          <w:lang w:val="fr-FR"/>
        </w:rPr>
      </w:pPr>
      <w:r w:rsidRPr="00F50223">
        <w:rPr>
          <w:rFonts w:eastAsia="Times New Roman"/>
          <w:color w:val="000000"/>
          <w:szCs w:val="24"/>
          <w:lang w:val="fr-FR" w:eastAsia="it-IT"/>
        </w:rPr>
        <w:t>« </w:t>
      </w:r>
      <w:r w:rsidRPr="00F50223">
        <w:rPr>
          <w:lang w:val="fr-FR"/>
        </w:rPr>
        <w:t>Le droit communautaire s</w:t>
      </w:r>
      <w:r>
        <w:rPr>
          <w:lang w:val="fr-FR"/>
        </w:rPr>
        <w:t>’</w:t>
      </w:r>
      <w:r w:rsidRPr="00F50223">
        <w:rPr>
          <w:lang w:val="fr-FR"/>
        </w:rPr>
        <w:t>oppose également à une législation nationale qui limite l</w:t>
      </w:r>
      <w:r>
        <w:rPr>
          <w:lang w:val="fr-FR"/>
        </w:rPr>
        <w:t>’</w:t>
      </w:r>
      <w:r w:rsidRPr="00F50223">
        <w:rPr>
          <w:lang w:val="fr-FR"/>
        </w:rPr>
        <w:t>engagement de cette responsabilité aux seuls cas du dol ou de la faute grave du juge, si une telle limitation conduisait à exclure l</w:t>
      </w:r>
      <w:r>
        <w:rPr>
          <w:lang w:val="fr-FR"/>
        </w:rPr>
        <w:t>’</w:t>
      </w:r>
      <w:r w:rsidRPr="00F50223">
        <w:rPr>
          <w:lang w:val="fr-FR"/>
        </w:rPr>
        <w:t>engagement de la responsabilité de l</w:t>
      </w:r>
      <w:r>
        <w:rPr>
          <w:lang w:val="fr-FR"/>
        </w:rPr>
        <w:t>’</w:t>
      </w:r>
      <w:r w:rsidRPr="00F50223">
        <w:rPr>
          <w:lang w:val="fr-FR"/>
        </w:rPr>
        <w:t>État membre concerné dans d</w:t>
      </w:r>
      <w:r>
        <w:rPr>
          <w:lang w:val="fr-FR"/>
        </w:rPr>
        <w:t>’</w:t>
      </w:r>
      <w:r w:rsidRPr="00F50223">
        <w:rPr>
          <w:lang w:val="fr-FR"/>
        </w:rPr>
        <w:t>autres cas où une méconnaissance manifeste du droit applicable, telle que précisée aux points 53 à 56 de l</w:t>
      </w:r>
      <w:r>
        <w:rPr>
          <w:lang w:val="fr-FR"/>
        </w:rPr>
        <w:t>’</w:t>
      </w:r>
      <w:r w:rsidRPr="00F50223">
        <w:rPr>
          <w:lang w:val="fr-FR"/>
        </w:rPr>
        <w:t xml:space="preserve">arrêt </w:t>
      </w:r>
      <w:r w:rsidRPr="00F50223">
        <w:rPr>
          <w:i/>
          <w:lang w:val="fr-FR"/>
        </w:rPr>
        <w:t>Köbler</w:t>
      </w:r>
      <w:r w:rsidRPr="00F50223">
        <w:rPr>
          <w:lang w:val="fr-FR"/>
        </w:rPr>
        <w:t xml:space="preserve"> du 30</w:t>
      </w:r>
      <w:r>
        <w:rPr>
          <w:lang w:val="fr-FR"/>
        </w:rPr>
        <w:t> </w:t>
      </w:r>
      <w:r w:rsidRPr="00F50223">
        <w:rPr>
          <w:lang w:val="fr-FR"/>
        </w:rPr>
        <w:t>septembre 2003</w:t>
      </w:r>
      <w:r w:rsidRPr="00F50223">
        <w:rPr>
          <w:i/>
          <w:lang w:val="fr-FR"/>
        </w:rPr>
        <w:t xml:space="preserve"> </w:t>
      </w:r>
      <w:r w:rsidRPr="00F50223">
        <w:rPr>
          <w:lang w:val="fr-FR"/>
        </w:rPr>
        <w:t>(C-224/01), a été commise. »</w:t>
      </w:r>
    </w:p>
    <w:p w:rsidR="001F4B22" w:rsidRPr="00AD412E" w:rsidRDefault="001F4B22" w:rsidP="00E77CB3">
      <w:pPr>
        <w:pStyle w:val="ECHRTitle1"/>
        <w:rPr>
          <w:lang w:val="fr-FR"/>
        </w:rPr>
      </w:pPr>
      <w:r w:rsidRPr="00AD412E">
        <w:rPr>
          <w:lang w:val="fr-FR"/>
        </w:rPr>
        <w:t>EN DROIT</w:t>
      </w:r>
    </w:p>
    <w:p w:rsidR="001F4B22" w:rsidRDefault="001F4B22" w:rsidP="00C63990">
      <w:pPr>
        <w:pStyle w:val="ECHRHeading1"/>
        <w:rPr>
          <w:lang w:val="fr-FR"/>
        </w:rPr>
      </w:pPr>
      <w:r w:rsidRPr="00AD412E">
        <w:rPr>
          <w:lang w:val="fr-FR"/>
        </w:rPr>
        <w:t>I.  </w:t>
      </w:r>
      <w:r>
        <w:rPr>
          <w:lang w:val="fr-FR"/>
        </w:rPr>
        <w:t>QUESTION PRÉLIMINAIRE</w:t>
      </w:r>
    </w:p>
    <w:bookmarkStart w:id="15" w:name="duericorrentirinunciano"/>
    <w:p w:rsidR="001F4B22" w:rsidRPr="006B5C08" w:rsidRDefault="001F4B22" w:rsidP="00CA765A">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36</w:t>
      </w:r>
      <w:r>
        <w:rPr>
          <w:lang w:val="fr-FR"/>
        </w:rPr>
        <w:fldChar w:fldCharType="end"/>
      </w:r>
      <w:bookmarkEnd w:id="15"/>
      <w:r w:rsidRPr="00AD412E">
        <w:rPr>
          <w:lang w:val="fr-FR"/>
        </w:rPr>
        <w:t>.  </w:t>
      </w:r>
      <w:r>
        <w:rPr>
          <w:lang w:val="fr-FR"/>
        </w:rPr>
        <w:t xml:space="preserve">En annexe à ses observations en réponse du 10 décembre 2014, la représentante des requérants a produit deux déclarations par lesquelles </w:t>
      </w:r>
      <w:r w:rsidRPr="006B5C08">
        <w:rPr>
          <w:lang w:val="fr-FR"/>
        </w:rPr>
        <w:t>MM. Pasquale Marra et Piersandro Tresca (qui figurent aux numéros 7 et 10 de la liste des requérants annexée au présent arrêt) déclarent renoncer à leur requête.</w:t>
      </w:r>
    </w:p>
    <w:p w:rsidR="001F4B22" w:rsidRPr="00761FCA" w:rsidRDefault="001F4B22" w:rsidP="00CA765A">
      <w:pPr>
        <w:pStyle w:val="ECHRPara"/>
        <w:rPr>
          <w:rFonts w:cs="Futura Std"/>
          <w:color w:val="000000"/>
          <w:szCs w:val="24"/>
          <w:lang w:val="fr-FR"/>
        </w:rPr>
      </w:pPr>
      <w:r w:rsidRPr="006B5C08">
        <w:rPr>
          <w:lang w:val="fr-FR"/>
        </w:rPr>
        <w:fldChar w:fldCharType="begin"/>
      </w:r>
      <w:r w:rsidRPr="006B5C08">
        <w:rPr>
          <w:lang w:val="fr-FR"/>
        </w:rPr>
        <w:instrText xml:space="preserve"> SEQ level0 \*arabic </w:instrText>
      </w:r>
      <w:r w:rsidRPr="006B5C08">
        <w:rPr>
          <w:lang w:val="fr-FR"/>
        </w:rPr>
        <w:fldChar w:fldCharType="separate"/>
      </w:r>
      <w:r>
        <w:rPr>
          <w:noProof/>
          <w:lang w:val="fr-FR"/>
        </w:rPr>
        <w:t>37</w:t>
      </w:r>
      <w:r w:rsidRPr="006B5C08">
        <w:rPr>
          <w:lang w:val="fr-FR"/>
        </w:rPr>
        <w:fldChar w:fldCharType="end"/>
      </w:r>
      <w:r w:rsidRPr="006B5C08">
        <w:rPr>
          <w:lang w:val="fr-FR"/>
        </w:rPr>
        <w:t>.  La Cour a pris note de leur renonciation. Elle considère dès lors que les septiè</w:t>
      </w:r>
      <w:r w:rsidRPr="006B5C08">
        <w:rPr>
          <w:szCs w:val="24"/>
          <w:lang w:val="fr-FR"/>
        </w:rPr>
        <w:t>me et dixième requérants n</w:t>
      </w:r>
      <w:r>
        <w:rPr>
          <w:szCs w:val="24"/>
          <w:lang w:val="fr-FR"/>
        </w:rPr>
        <w:t>’</w:t>
      </w:r>
      <w:r w:rsidRPr="006B5C08">
        <w:rPr>
          <w:szCs w:val="24"/>
          <w:lang w:val="fr-FR"/>
        </w:rPr>
        <w:t>entendent plus maintenir leur requête aux termes de l</w:t>
      </w:r>
      <w:r>
        <w:rPr>
          <w:szCs w:val="24"/>
          <w:lang w:val="fr-FR"/>
        </w:rPr>
        <w:t>’</w:t>
      </w:r>
      <w:r w:rsidRPr="006B5C08">
        <w:rPr>
          <w:szCs w:val="24"/>
          <w:lang w:val="fr-FR"/>
        </w:rPr>
        <w:t>article 37 § 1 a) de la Convention. Par ailleurs, elle estime que</w:t>
      </w:r>
      <w:r w:rsidRPr="006B5C08">
        <w:rPr>
          <w:rFonts w:cs="Futura Std"/>
          <w:color w:val="000000"/>
          <w:szCs w:val="24"/>
          <w:lang w:val="fr-FR"/>
        </w:rPr>
        <w:t xml:space="preserve"> le respect des droits de l</w:t>
      </w:r>
      <w:r>
        <w:rPr>
          <w:rFonts w:cs="Futura Std"/>
          <w:color w:val="000000"/>
          <w:szCs w:val="24"/>
          <w:lang w:val="fr-FR"/>
        </w:rPr>
        <w:t>’</w:t>
      </w:r>
      <w:r w:rsidRPr="006B5C08">
        <w:rPr>
          <w:rFonts w:cs="Futura Std"/>
          <w:color w:val="000000"/>
          <w:szCs w:val="24"/>
          <w:lang w:val="fr-FR"/>
        </w:rPr>
        <w:t>homme garantis par la Convention et ses Protocoles n</w:t>
      </w:r>
      <w:r>
        <w:rPr>
          <w:rFonts w:cs="Futura Std"/>
          <w:color w:val="000000"/>
          <w:szCs w:val="24"/>
          <w:lang w:val="fr-FR"/>
        </w:rPr>
        <w:t>’</w:t>
      </w:r>
      <w:r w:rsidRPr="006B5C08">
        <w:rPr>
          <w:rFonts w:cs="Futura Std"/>
          <w:color w:val="000000"/>
          <w:szCs w:val="24"/>
          <w:lang w:val="fr-FR"/>
        </w:rPr>
        <w:t>exige pas qu</w:t>
      </w:r>
      <w:r>
        <w:rPr>
          <w:rFonts w:cs="Futura Std"/>
          <w:color w:val="000000"/>
          <w:szCs w:val="24"/>
          <w:lang w:val="fr-FR"/>
        </w:rPr>
        <w:t>’</w:t>
      </w:r>
      <w:r w:rsidRPr="006B5C08">
        <w:rPr>
          <w:rFonts w:cs="Futura Std"/>
          <w:color w:val="000000"/>
          <w:szCs w:val="24"/>
          <w:lang w:val="fr-FR"/>
        </w:rPr>
        <w:t>elle poursuive l</w:t>
      </w:r>
      <w:r>
        <w:rPr>
          <w:rFonts w:cs="Futura Std"/>
          <w:color w:val="000000"/>
          <w:szCs w:val="24"/>
          <w:lang w:val="fr-FR"/>
        </w:rPr>
        <w:t>’</w:t>
      </w:r>
      <w:r w:rsidRPr="006B5C08">
        <w:rPr>
          <w:rFonts w:cs="Futura Std"/>
          <w:color w:val="000000"/>
          <w:szCs w:val="24"/>
          <w:lang w:val="fr-FR"/>
        </w:rPr>
        <w:t>examen de la requête en ce qui concerne les deux requérants en question.</w:t>
      </w:r>
    </w:p>
    <w:bookmarkStart w:id="16" w:name="radiationrole"/>
    <w:p w:rsidR="001F4B22" w:rsidRPr="00761FCA" w:rsidRDefault="001F4B22" w:rsidP="00CA765A">
      <w:pPr>
        <w:pStyle w:val="ECHRPara"/>
        <w:rPr>
          <w:szCs w:val="24"/>
          <w:lang w:val="fr-FR"/>
        </w:rPr>
      </w:pPr>
      <w:r w:rsidRPr="00761FCA">
        <w:rPr>
          <w:rFonts w:cs="Futura Std"/>
          <w:color w:val="000000"/>
          <w:szCs w:val="24"/>
          <w:lang w:val="fr-FR"/>
        </w:rPr>
        <w:fldChar w:fldCharType="begin"/>
      </w:r>
      <w:r w:rsidRPr="00761FCA">
        <w:rPr>
          <w:rFonts w:cs="Futura Std"/>
          <w:color w:val="000000"/>
          <w:szCs w:val="24"/>
          <w:lang w:val="fr-FR"/>
        </w:rPr>
        <w:instrText xml:space="preserve"> SEQ level0 \*arabic </w:instrText>
      </w:r>
      <w:r w:rsidRPr="00761FCA">
        <w:rPr>
          <w:rFonts w:cs="Futura Std"/>
          <w:color w:val="000000"/>
          <w:szCs w:val="24"/>
          <w:lang w:val="fr-FR"/>
        </w:rPr>
        <w:fldChar w:fldCharType="separate"/>
      </w:r>
      <w:r>
        <w:rPr>
          <w:rFonts w:cs="Futura Std"/>
          <w:noProof/>
          <w:color w:val="000000"/>
          <w:szCs w:val="24"/>
          <w:lang w:val="fr-FR"/>
        </w:rPr>
        <w:t>38</w:t>
      </w:r>
      <w:r w:rsidRPr="00761FCA">
        <w:rPr>
          <w:rFonts w:cs="Futura Std"/>
          <w:color w:val="000000"/>
          <w:szCs w:val="24"/>
          <w:lang w:val="fr-FR"/>
        </w:rPr>
        <w:fldChar w:fldCharType="end"/>
      </w:r>
      <w:bookmarkEnd w:id="16"/>
      <w:r w:rsidRPr="00761FCA">
        <w:rPr>
          <w:rFonts w:cs="Futura Std"/>
          <w:color w:val="000000"/>
          <w:szCs w:val="24"/>
          <w:lang w:val="fr-FR"/>
        </w:rPr>
        <w:t>.  </w:t>
      </w:r>
      <w:r>
        <w:rPr>
          <w:rFonts w:cs="Futura Std"/>
          <w:color w:val="000000"/>
          <w:szCs w:val="24"/>
          <w:lang w:val="fr-FR"/>
        </w:rPr>
        <w:t xml:space="preserve">Il s’ensuit qu’il y a lieu de rayer la requête du rôle en ce qui concerne </w:t>
      </w:r>
      <w:r>
        <w:rPr>
          <w:lang w:val="fr-FR"/>
        </w:rPr>
        <w:t xml:space="preserve">MM. </w:t>
      </w:r>
      <w:r w:rsidRPr="00EC2012">
        <w:rPr>
          <w:lang w:val="fr-FR"/>
        </w:rPr>
        <w:t>Pasquale M</w:t>
      </w:r>
      <w:r>
        <w:rPr>
          <w:lang w:val="fr-FR"/>
        </w:rPr>
        <w:t>arra</w:t>
      </w:r>
      <w:r w:rsidRPr="00EC2012">
        <w:rPr>
          <w:lang w:val="fr-FR"/>
        </w:rPr>
        <w:t xml:space="preserve"> </w:t>
      </w:r>
      <w:r>
        <w:rPr>
          <w:lang w:val="fr-FR"/>
        </w:rPr>
        <w:t xml:space="preserve">et </w:t>
      </w:r>
      <w:r w:rsidRPr="00EC2012">
        <w:rPr>
          <w:lang w:val="fr-FR"/>
        </w:rPr>
        <w:t>Piersan</w:t>
      </w:r>
      <w:r>
        <w:rPr>
          <w:lang w:val="fr-FR"/>
        </w:rPr>
        <w:t>d</w:t>
      </w:r>
      <w:r w:rsidRPr="00EC2012">
        <w:rPr>
          <w:lang w:val="fr-FR"/>
        </w:rPr>
        <w:t>ro T</w:t>
      </w:r>
      <w:r>
        <w:rPr>
          <w:lang w:val="fr-FR"/>
        </w:rPr>
        <w:t>resca.</w:t>
      </w:r>
    </w:p>
    <w:p w:rsidR="001F4B22" w:rsidRPr="00AD412E" w:rsidRDefault="001F4B22" w:rsidP="00C63990">
      <w:pPr>
        <w:pStyle w:val="ECHRHeading1"/>
        <w:rPr>
          <w:lang w:val="fr-FR"/>
        </w:rPr>
      </w:pPr>
      <w:r>
        <w:rPr>
          <w:lang w:val="fr-FR"/>
        </w:rPr>
        <w:t>II.  </w:t>
      </w:r>
      <w:r w:rsidRPr="00AD412E">
        <w:rPr>
          <w:lang w:val="fr-FR"/>
        </w:rPr>
        <w:t>SUR LA VIOLATION ALLÉGUÉE DE L</w:t>
      </w:r>
      <w:r>
        <w:rPr>
          <w:lang w:val="fr-FR"/>
        </w:rPr>
        <w:t>’</w:t>
      </w:r>
      <w:r w:rsidRPr="00AD412E">
        <w:rPr>
          <w:lang w:val="fr-FR"/>
        </w:rPr>
        <w:t xml:space="preserve">ARTICLE </w:t>
      </w:r>
      <w:r>
        <w:rPr>
          <w:lang w:val="fr-FR"/>
        </w:rPr>
        <w:t>6 § 1</w:t>
      </w:r>
      <w:r w:rsidRPr="00AD412E">
        <w:rPr>
          <w:lang w:val="fr-FR"/>
        </w:rPr>
        <w:t xml:space="preserve"> DE LA CONVENTION</w:t>
      </w:r>
    </w:p>
    <w:p w:rsidR="001F4B22" w:rsidRDefault="001F4B22" w:rsidP="0079033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39</w:t>
      </w:r>
      <w:r>
        <w:rPr>
          <w:lang w:val="fr-FR"/>
        </w:rPr>
        <w:fldChar w:fldCharType="end"/>
      </w:r>
      <w:r w:rsidRPr="00AD412E">
        <w:rPr>
          <w:lang w:val="fr-FR"/>
        </w:rPr>
        <w:t>.  </w:t>
      </w:r>
      <w:r>
        <w:rPr>
          <w:lang w:val="fr-FR"/>
        </w:rPr>
        <w:t>L</w:t>
      </w:r>
      <w:r w:rsidRPr="00790333">
        <w:rPr>
          <w:lang w:val="fr-FR"/>
        </w:rPr>
        <w:t>es requérants soutiennent que la procédure entamée devant le tribunal de Rome n</w:t>
      </w:r>
      <w:r>
        <w:rPr>
          <w:lang w:val="fr-FR"/>
        </w:rPr>
        <w:t>’</w:t>
      </w:r>
      <w:r w:rsidRPr="00790333">
        <w:rPr>
          <w:lang w:val="fr-FR"/>
        </w:rPr>
        <w:t>a pas été équitable.</w:t>
      </w:r>
    </w:p>
    <w:p w:rsidR="001F4B22" w:rsidRDefault="001F4B22" w:rsidP="00790333">
      <w:pPr>
        <w:pStyle w:val="ECHRPara"/>
        <w:rPr>
          <w:lang w:val="fr-FR"/>
        </w:rPr>
      </w:pPr>
      <w:r>
        <w:rPr>
          <w:lang w:val="fr-FR"/>
        </w:rPr>
        <w:t>Ils invoquent à cet égard l’article 6 § 1 de la Convention, qui, en ses parties pertinentes en l’espèce, est ainsi libellé :</w:t>
      </w:r>
    </w:p>
    <w:p w:rsidR="001F4B22" w:rsidRPr="00AD412E" w:rsidRDefault="001F4B22" w:rsidP="00E77CB3">
      <w:pPr>
        <w:pStyle w:val="ECHRParaQuote"/>
        <w:rPr>
          <w:lang w:val="fr-FR"/>
        </w:rPr>
      </w:pPr>
      <w:r w:rsidRPr="009208FF">
        <w:rPr>
          <w:lang w:val="fr-FR"/>
        </w:rPr>
        <w:t>« Toute personne a droit à ce que sa cause soit entendue équitablement (...) par un tribunal (...), qui décidera (...) des contestations sur ses droits et obligations de caractère civil (...). </w:t>
      </w:r>
      <w:r w:rsidRPr="00053608">
        <w:rPr>
          <w:lang w:val="fr-FR"/>
        </w:rPr>
        <w:t>»</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40</w:t>
      </w:r>
      <w:r>
        <w:rPr>
          <w:lang w:val="fr-FR"/>
        </w:rPr>
        <w:fldChar w:fldCharType="end"/>
      </w:r>
      <w:r w:rsidRPr="00AD412E">
        <w:rPr>
          <w:lang w:val="fr-FR"/>
        </w:rPr>
        <w:t xml:space="preserve">.  Le Gouvernement </w:t>
      </w:r>
      <w:r>
        <w:rPr>
          <w:lang w:val="fr-FR"/>
        </w:rPr>
        <w:t>combat</w:t>
      </w:r>
      <w:r w:rsidRPr="00AD412E">
        <w:rPr>
          <w:lang w:val="fr-FR"/>
        </w:rPr>
        <w:t xml:space="preserve"> cette thèse.</w:t>
      </w:r>
    </w:p>
    <w:p w:rsidR="001F4B22" w:rsidRPr="00AD412E" w:rsidRDefault="001F4B22" w:rsidP="0033215C">
      <w:pPr>
        <w:pStyle w:val="ECHRHeading2"/>
        <w:rPr>
          <w:lang w:val="fr-FR"/>
        </w:rPr>
      </w:pPr>
      <w:r w:rsidRPr="00AD412E">
        <w:rPr>
          <w:lang w:val="fr-FR"/>
        </w:rPr>
        <w:t>A.  Sur la recevabilité</w:t>
      </w:r>
    </w:p>
    <w:p w:rsidR="001F4B22" w:rsidRDefault="001F4B22" w:rsidP="00835CE2">
      <w:pPr>
        <w:pStyle w:val="ECHRHeading3"/>
        <w:rPr>
          <w:lang w:val="fr-FR"/>
        </w:rPr>
      </w:pPr>
      <w:r>
        <w:rPr>
          <w:lang w:val="fr-FR"/>
        </w:rPr>
        <w:t>1.  L’exception du Gouvernement tirée du non-épuisement des voies de recours internes</w:t>
      </w:r>
    </w:p>
    <w:p w:rsidR="001F4B22" w:rsidRDefault="001F4B22" w:rsidP="00F50223">
      <w:pPr>
        <w:pStyle w:val="ECHRHeading4"/>
        <w:rPr>
          <w:lang w:val="fr-FR"/>
        </w:rPr>
      </w:pPr>
      <w:r>
        <w:rPr>
          <w:lang w:val="fr-FR"/>
        </w:rPr>
        <w:t>a)  L’exception du Gouvernement</w:t>
      </w:r>
    </w:p>
    <w:p w:rsidR="001F4B22" w:rsidRDefault="001F4B22" w:rsidP="009208FF">
      <w:pPr>
        <w:pStyle w:val="ECHRPara"/>
        <w:rPr>
          <w:lang w:val="fr-FR"/>
        </w:rPr>
      </w:pPr>
      <w:r w:rsidRPr="00835CE2">
        <w:rPr>
          <w:lang w:val="fr-FR"/>
        </w:rPr>
        <w:fldChar w:fldCharType="begin"/>
      </w:r>
      <w:r w:rsidRPr="00835CE2">
        <w:rPr>
          <w:lang w:val="fr-FR"/>
        </w:rPr>
        <w:instrText xml:space="preserve"> SEQ level0 \*arabic </w:instrText>
      </w:r>
      <w:r w:rsidRPr="00835CE2">
        <w:rPr>
          <w:lang w:val="fr-FR"/>
        </w:rPr>
        <w:fldChar w:fldCharType="separate"/>
      </w:r>
      <w:r>
        <w:rPr>
          <w:noProof/>
          <w:lang w:val="fr-FR"/>
        </w:rPr>
        <w:t>41</w:t>
      </w:r>
      <w:r w:rsidRPr="00835CE2">
        <w:rPr>
          <w:lang w:val="fr-FR"/>
        </w:rPr>
        <w:fldChar w:fldCharType="end"/>
      </w:r>
      <w:r w:rsidRPr="00835CE2">
        <w:rPr>
          <w:lang w:val="fr-FR"/>
        </w:rPr>
        <w:t xml:space="preserve">.  Le Gouvernement excipe du non-épuisement des voies de recours internes. </w:t>
      </w:r>
      <w:r>
        <w:rPr>
          <w:lang w:val="fr-FR"/>
        </w:rPr>
        <w:t>Il indique que, s</w:t>
      </w:r>
      <w:r w:rsidRPr="00835CE2">
        <w:rPr>
          <w:lang w:val="fr-FR"/>
        </w:rPr>
        <w:t>i la Cour de cassation a mal appliqué la théorie de l</w:t>
      </w:r>
      <w:r>
        <w:rPr>
          <w:lang w:val="fr-FR"/>
        </w:rPr>
        <w:t>’</w:t>
      </w:r>
      <w:r w:rsidRPr="00835CE2">
        <w:rPr>
          <w:lang w:val="fr-FR"/>
        </w:rPr>
        <w:t xml:space="preserve">acte clair et manqué à son obligation de poser une question préjudicielle à la </w:t>
      </w:r>
      <w:r>
        <w:rPr>
          <w:lang w:val="fr-FR"/>
        </w:rPr>
        <w:t>CJCE</w:t>
      </w:r>
      <w:r w:rsidRPr="00835CE2">
        <w:rPr>
          <w:lang w:val="fr-FR"/>
        </w:rPr>
        <w:t>, les requérants peuvent introduire une action en dédommagement contre l</w:t>
      </w:r>
      <w:r>
        <w:rPr>
          <w:lang w:val="fr-FR"/>
        </w:rPr>
        <w:t>’</w:t>
      </w:r>
      <w:r w:rsidRPr="00835CE2">
        <w:rPr>
          <w:lang w:val="fr-FR"/>
        </w:rPr>
        <w:t>État devant le juge civil, comme y invite</w:t>
      </w:r>
      <w:r>
        <w:rPr>
          <w:lang w:val="fr-FR"/>
        </w:rPr>
        <w:t>raient</w:t>
      </w:r>
      <w:r w:rsidRPr="00835CE2">
        <w:rPr>
          <w:lang w:val="fr-FR"/>
        </w:rPr>
        <w:t xml:space="preserve"> les arrêts de la </w:t>
      </w:r>
      <w:r>
        <w:rPr>
          <w:lang w:val="fr-FR"/>
        </w:rPr>
        <w:t>CJCE</w:t>
      </w:r>
      <w:r w:rsidRPr="00835CE2">
        <w:rPr>
          <w:lang w:val="fr-FR"/>
        </w:rPr>
        <w:t xml:space="preserve"> </w:t>
      </w:r>
      <w:r w:rsidRPr="00835CE2">
        <w:rPr>
          <w:i/>
          <w:lang w:val="fr-FR"/>
        </w:rPr>
        <w:t>K</w:t>
      </w:r>
      <w:r>
        <w:rPr>
          <w:i/>
          <w:lang w:val="fr-FR"/>
        </w:rPr>
        <w:t>ö</w:t>
      </w:r>
      <w:r w:rsidRPr="00835CE2">
        <w:rPr>
          <w:i/>
          <w:lang w:val="fr-FR"/>
        </w:rPr>
        <w:t xml:space="preserve">bler </w:t>
      </w:r>
      <w:r w:rsidRPr="00835CE2">
        <w:rPr>
          <w:lang w:val="fr-FR"/>
        </w:rPr>
        <w:t xml:space="preserve">et </w:t>
      </w:r>
      <w:r w:rsidRPr="00835CE2">
        <w:rPr>
          <w:i/>
          <w:lang w:val="fr-FR"/>
        </w:rPr>
        <w:t>Traghetti del Mediterraneo</w:t>
      </w:r>
      <w:r>
        <w:rPr>
          <w:lang w:val="fr-FR"/>
        </w:rPr>
        <w:t xml:space="preserve"> (précités)</w:t>
      </w:r>
      <w:r w:rsidRPr="00835CE2">
        <w:rPr>
          <w:lang w:val="fr-FR"/>
        </w:rPr>
        <w:t>.</w:t>
      </w:r>
    </w:p>
    <w:p w:rsidR="001F4B22" w:rsidRDefault="001F4B22" w:rsidP="009208FF">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42</w:t>
      </w:r>
      <w:r>
        <w:rPr>
          <w:lang w:val="fr-FR"/>
        </w:rPr>
        <w:fldChar w:fldCharType="end"/>
      </w:r>
      <w:r>
        <w:rPr>
          <w:lang w:val="fr-FR"/>
        </w:rPr>
        <w:t>.  Le Gouvernement estime qu’une action en dédommagement pour manquement à l’obligation de poser une question préjudicielle est un recours autonome bien distinct de l’action en dédommagement pour retard dans la transposition d’une directive. Or les requérants n’auraient introduit que cette dernière action et n’auraient par conséquent pas épuisé les voies de recours qui, selon le Gouvernement, leur étaient ouvertes en droit italien.</w:t>
      </w:r>
    </w:p>
    <w:p w:rsidR="001F4B22" w:rsidRPr="00835CE2" w:rsidRDefault="001F4B22" w:rsidP="00F50223">
      <w:pPr>
        <w:pStyle w:val="ECHRHeading4"/>
        <w:rPr>
          <w:lang w:val="fr-FR"/>
        </w:rPr>
      </w:pPr>
      <w:r>
        <w:rPr>
          <w:lang w:val="fr-FR"/>
        </w:rPr>
        <w:t>b)  La réplique des requérants</w:t>
      </w:r>
    </w:p>
    <w:p w:rsidR="001F4B22" w:rsidRDefault="001F4B22" w:rsidP="009208FF">
      <w:pPr>
        <w:pStyle w:val="ECHRPara"/>
        <w:rPr>
          <w:lang w:val="fr-FR"/>
        </w:rPr>
      </w:pPr>
      <w:r w:rsidRPr="00835CE2">
        <w:rPr>
          <w:lang w:val="fr-FR"/>
        </w:rPr>
        <w:fldChar w:fldCharType="begin"/>
      </w:r>
      <w:r w:rsidRPr="00835CE2">
        <w:rPr>
          <w:lang w:val="fr-FR"/>
        </w:rPr>
        <w:instrText xml:space="preserve"> SEQ level0 \*arabic </w:instrText>
      </w:r>
      <w:r w:rsidRPr="00835CE2">
        <w:rPr>
          <w:lang w:val="fr-FR"/>
        </w:rPr>
        <w:fldChar w:fldCharType="separate"/>
      </w:r>
      <w:r>
        <w:rPr>
          <w:noProof/>
          <w:lang w:val="fr-FR"/>
        </w:rPr>
        <w:t>43</w:t>
      </w:r>
      <w:r w:rsidRPr="00835CE2">
        <w:rPr>
          <w:lang w:val="fr-FR"/>
        </w:rPr>
        <w:fldChar w:fldCharType="end"/>
      </w:r>
      <w:r w:rsidRPr="00835CE2">
        <w:rPr>
          <w:lang w:val="fr-FR"/>
        </w:rPr>
        <w:t>.  </w:t>
      </w:r>
      <w:r>
        <w:rPr>
          <w:lang w:val="fr-FR"/>
        </w:rPr>
        <w:t>Les requérants indiquent qu’ils ont soulevé leurs doléances, à savoir la responsabilité de l’État pour une transposition tardive des directives européennes, devant trois degrés de juridiction (tribunal, cour d’appel et Cour de cassation) et ils estiment avoir ainsi fait un usage normal des voies ordinaires de recours interne. Ils objectent au Gouvernement qu’il n’a indiqué ni quel type de procédure judiciaire ultérieure ils auraient dû suivre ni quel juge national était compétent pour examiner la question. Ils ajoutent que les particuliers n’ont pas un accès direct à la CJCE.</w:t>
      </w:r>
    </w:p>
    <w:p w:rsidR="001F4B22" w:rsidRPr="005F73B6" w:rsidRDefault="001F4B22" w:rsidP="00F50223">
      <w:pPr>
        <w:pStyle w:val="ECHRHeading4"/>
        <w:rPr>
          <w:lang w:val="fr-FR"/>
        </w:rPr>
      </w:pPr>
      <w:r w:rsidRPr="005F73B6">
        <w:rPr>
          <w:lang w:val="fr-FR"/>
        </w:rPr>
        <w:t>c)  Appréciation de la Cour</w:t>
      </w:r>
    </w:p>
    <w:p w:rsidR="001F4B22" w:rsidRPr="00F50223" w:rsidRDefault="001F4B22" w:rsidP="00F50223">
      <w:pPr>
        <w:pStyle w:val="ECHRPara"/>
        <w:rPr>
          <w:lang w:val="fr-FR"/>
        </w:rPr>
      </w:pPr>
      <w:r w:rsidRPr="005F73B6">
        <w:rPr>
          <w:lang w:val="fr-FR"/>
        </w:rPr>
        <w:fldChar w:fldCharType="begin"/>
      </w:r>
      <w:r w:rsidRPr="005F73B6">
        <w:rPr>
          <w:lang w:val="fr-FR"/>
        </w:rPr>
        <w:instrText xml:space="preserve"> SEQ level0 \*arabic </w:instrText>
      </w:r>
      <w:r w:rsidRPr="005F73B6">
        <w:rPr>
          <w:lang w:val="fr-FR"/>
        </w:rPr>
        <w:fldChar w:fldCharType="separate"/>
      </w:r>
      <w:r>
        <w:rPr>
          <w:noProof/>
          <w:lang w:val="fr-FR"/>
        </w:rPr>
        <w:t>44</w:t>
      </w:r>
      <w:r w:rsidRPr="005F73B6">
        <w:rPr>
          <w:lang w:val="fr-FR"/>
        </w:rPr>
        <w:fldChar w:fldCharType="end"/>
      </w:r>
      <w:r w:rsidRPr="005F73B6">
        <w:rPr>
          <w:lang w:val="fr-FR"/>
        </w:rPr>
        <w:t>.  </w:t>
      </w:r>
      <w:r w:rsidRPr="00F50223">
        <w:rPr>
          <w:lang w:val="fr-FR"/>
        </w:rPr>
        <w:t>La Cour rappelle qu</w:t>
      </w:r>
      <w:r>
        <w:rPr>
          <w:lang w:val="fr-FR"/>
        </w:rPr>
        <w:t xml:space="preserve">e, </w:t>
      </w:r>
      <w:r w:rsidRPr="00F50223">
        <w:rPr>
          <w:lang w:val="fr-FR"/>
        </w:rPr>
        <w:t>aux termes de l</w:t>
      </w:r>
      <w:r>
        <w:rPr>
          <w:lang w:val="fr-FR"/>
        </w:rPr>
        <w:t>’</w:t>
      </w:r>
      <w:r w:rsidRPr="00F50223">
        <w:rPr>
          <w:lang w:val="fr-FR"/>
        </w:rPr>
        <w:t>article 35 § 1 de la Convention, elle ne peut être saisie qu</w:t>
      </w:r>
      <w:r>
        <w:rPr>
          <w:lang w:val="fr-FR"/>
        </w:rPr>
        <w:t>’</w:t>
      </w:r>
      <w:r w:rsidRPr="00F50223">
        <w:rPr>
          <w:lang w:val="fr-FR"/>
        </w:rPr>
        <w:t>après l</w:t>
      </w:r>
      <w:r>
        <w:rPr>
          <w:lang w:val="fr-FR"/>
        </w:rPr>
        <w:t>’</w:t>
      </w:r>
      <w:r w:rsidRPr="00F50223">
        <w:rPr>
          <w:lang w:val="fr-FR"/>
        </w:rPr>
        <w:t>épuisement des voies de recours internes</w:t>
      </w:r>
      <w:r>
        <w:rPr>
          <w:lang w:val="fr-FR"/>
        </w:rPr>
        <w:t>,</w:t>
      </w:r>
      <w:r w:rsidRPr="00F50223">
        <w:rPr>
          <w:lang w:val="fr-FR"/>
        </w:rPr>
        <w:t xml:space="preserve"> </w:t>
      </w:r>
      <w:r>
        <w:rPr>
          <w:lang w:val="fr-FR"/>
        </w:rPr>
        <w:t>l</w:t>
      </w:r>
      <w:r w:rsidRPr="00F50223">
        <w:rPr>
          <w:lang w:val="fr-FR"/>
        </w:rPr>
        <w:t xml:space="preserve">a finalité de cette règle </w:t>
      </w:r>
      <w:r>
        <w:rPr>
          <w:lang w:val="fr-FR"/>
        </w:rPr>
        <w:t>étant</w:t>
      </w:r>
      <w:r w:rsidRPr="00F50223">
        <w:rPr>
          <w:lang w:val="fr-FR"/>
        </w:rPr>
        <w:t xml:space="preserve"> de ménager aux États contractants l</w:t>
      </w:r>
      <w:r>
        <w:rPr>
          <w:lang w:val="fr-FR"/>
        </w:rPr>
        <w:t>’</w:t>
      </w:r>
      <w:r w:rsidRPr="00F50223">
        <w:rPr>
          <w:lang w:val="fr-FR"/>
        </w:rPr>
        <w:t>occasion de prévenir ou de redresser les violations alléguées contre eux avant que la Cour n</w:t>
      </w:r>
      <w:r>
        <w:rPr>
          <w:lang w:val="fr-FR"/>
        </w:rPr>
        <w:t>’</w:t>
      </w:r>
      <w:r w:rsidRPr="00F50223">
        <w:rPr>
          <w:lang w:val="fr-FR"/>
        </w:rPr>
        <w:t>en soit saisie (voir, parmi d</w:t>
      </w:r>
      <w:r>
        <w:rPr>
          <w:lang w:val="fr-FR"/>
        </w:rPr>
        <w:t>’</w:t>
      </w:r>
      <w:r w:rsidRPr="00F50223">
        <w:rPr>
          <w:lang w:val="fr-FR"/>
        </w:rPr>
        <w:t>autres,</w:t>
      </w:r>
      <w:r w:rsidRPr="00F50223">
        <w:rPr>
          <w:i/>
          <w:lang w:val="fr-FR"/>
        </w:rPr>
        <w:t xml:space="preserve"> Mifsud c. France</w:t>
      </w:r>
      <w:r w:rsidRPr="00F50223">
        <w:rPr>
          <w:lang w:val="fr-FR"/>
        </w:rPr>
        <w:t xml:space="preserve"> (déc.) [GC], n</w:t>
      </w:r>
      <w:r w:rsidRPr="00F50223">
        <w:rPr>
          <w:vertAlign w:val="superscript"/>
          <w:lang w:val="fr-FR"/>
        </w:rPr>
        <w:t>o</w:t>
      </w:r>
      <w:r w:rsidRPr="00F50223">
        <w:rPr>
          <w:lang w:val="fr-FR"/>
        </w:rPr>
        <w:t> 57220/00, § 15, CEDH 2002</w:t>
      </w:r>
      <w:r>
        <w:rPr>
          <w:lang w:val="fr-FR"/>
        </w:rPr>
        <w:t>-</w:t>
      </w:r>
      <w:r w:rsidRPr="00F50223">
        <w:rPr>
          <w:lang w:val="fr-FR"/>
        </w:rPr>
        <w:t>VIII).</w:t>
      </w:r>
    </w:p>
    <w:p w:rsidR="001F4B22" w:rsidRDefault="001F4B22" w:rsidP="00F5022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45</w:t>
      </w:r>
      <w:r>
        <w:rPr>
          <w:lang w:val="fr-FR"/>
        </w:rPr>
        <w:fldChar w:fldCharType="end"/>
      </w:r>
      <w:r>
        <w:rPr>
          <w:lang w:val="fr-FR"/>
        </w:rPr>
        <w:t>.  </w:t>
      </w:r>
      <w:r w:rsidRPr="00F50223">
        <w:rPr>
          <w:lang w:val="fr-FR"/>
        </w:rPr>
        <w:t>Les principes généraux relatifs à la règle de l</w:t>
      </w:r>
      <w:r>
        <w:rPr>
          <w:lang w:val="fr-FR"/>
        </w:rPr>
        <w:t>’</w:t>
      </w:r>
      <w:r w:rsidRPr="00F50223">
        <w:rPr>
          <w:lang w:val="fr-FR"/>
        </w:rPr>
        <w:t>épuisement des voies de recours internes se trouvent exposés dans l</w:t>
      </w:r>
      <w:r>
        <w:rPr>
          <w:lang w:val="fr-FR"/>
        </w:rPr>
        <w:t>’</w:t>
      </w:r>
      <w:r w:rsidRPr="00F50223">
        <w:rPr>
          <w:lang w:val="fr-FR"/>
        </w:rPr>
        <w:t xml:space="preserve">arrêt </w:t>
      </w:r>
      <w:r>
        <w:rPr>
          <w:i/>
          <w:lang w:val="fr-FR"/>
        </w:rPr>
        <w:t xml:space="preserve">Vučković et autres c. </w:t>
      </w:r>
      <w:r w:rsidRPr="00F50223">
        <w:rPr>
          <w:i/>
          <w:lang w:val="fr-FR"/>
        </w:rPr>
        <w:t>Serbie</w:t>
      </w:r>
      <w:r w:rsidRPr="00F50223">
        <w:rPr>
          <w:lang w:val="fr-FR"/>
        </w:rPr>
        <w:t xml:space="preserve"> ([GC], n</w:t>
      </w:r>
      <w:r w:rsidRPr="00F50223">
        <w:rPr>
          <w:vertAlign w:val="superscript"/>
          <w:lang w:val="fr-FR"/>
        </w:rPr>
        <w:t>os</w:t>
      </w:r>
      <w:r w:rsidRPr="00F50223">
        <w:rPr>
          <w:lang w:val="fr-FR"/>
        </w:rPr>
        <w:t xml:space="preserve"> 17153/11 et autres, §§ 69-77, 25 mars 2014). La Cour rappelle que l</w:t>
      </w:r>
      <w:r>
        <w:rPr>
          <w:lang w:val="fr-FR"/>
        </w:rPr>
        <w:t>’</w:t>
      </w:r>
      <w:r w:rsidRPr="00F50223">
        <w:rPr>
          <w:lang w:val="fr-FR"/>
        </w:rPr>
        <w:t>article 35 § 1 de la Convention ne prescrit l</w:t>
      </w:r>
      <w:r>
        <w:rPr>
          <w:lang w:val="fr-FR"/>
        </w:rPr>
        <w:t>’</w:t>
      </w:r>
      <w:r w:rsidRPr="00F50223">
        <w:rPr>
          <w:lang w:val="fr-FR"/>
        </w:rPr>
        <w:t xml:space="preserve">épuisement </w:t>
      </w:r>
      <w:r>
        <w:rPr>
          <w:lang w:val="fr-FR"/>
        </w:rPr>
        <w:t xml:space="preserve">que </w:t>
      </w:r>
      <w:r w:rsidRPr="00F50223">
        <w:rPr>
          <w:lang w:val="fr-FR"/>
        </w:rPr>
        <w:t>des recours à la fois relatifs aux violations incriminées, disponibles et adéquats. Un recours est effectif lorsqu</w:t>
      </w:r>
      <w:r>
        <w:rPr>
          <w:lang w:val="fr-FR"/>
        </w:rPr>
        <w:t>’</w:t>
      </w:r>
      <w:r w:rsidRPr="00F50223">
        <w:rPr>
          <w:lang w:val="fr-FR"/>
        </w:rPr>
        <w:t>il est disponible tant en théorie qu</w:t>
      </w:r>
      <w:r>
        <w:rPr>
          <w:lang w:val="fr-FR"/>
        </w:rPr>
        <w:t>’</w:t>
      </w:r>
      <w:r w:rsidRPr="00F50223">
        <w:rPr>
          <w:lang w:val="fr-FR"/>
        </w:rPr>
        <w:t>en pratique à l</w:t>
      </w:r>
      <w:r>
        <w:rPr>
          <w:lang w:val="fr-FR"/>
        </w:rPr>
        <w:t>’</w:t>
      </w:r>
      <w:r w:rsidRPr="00F50223">
        <w:rPr>
          <w:lang w:val="fr-FR"/>
        </w:rPr>
        <w:t>époque des faits, c</w:t>
      </w:r>
      <w:r>
        <w:rPr>
          <w:lang w:val="fr-FR"/>
        </w:rPr>
        <w:t>’</w:t>
      </w:r>
      <w:r w:rsidRPr="00F50223">
        <w:rPr>
          <w:lang w:val="fr-FR"/>
        </w:rPr>
        <w:t>est-à-dire lorsqu</w:t>
      </w:r>
      <w:r>
        <w:rPr>
          <w:lang w:val="fr-FR"/>
        </w:rPr>
        <w:t>’</w:t>
      </w:r>
      <w:r w:rsidRPr="00F50223">
        <w:rPr>
          <w:lang w:val="fr-FR"/>
        </w:rPr>
        <w:t>il est accessible, susceptible d</w:t>
      </w:r>
      <w:r>
        <w:rPr>
          <w:lang w:val="fr-FR"/>
        </w:rPr>
        <w:t>’</w:t>
      </w:r>
      <w:r w:rsidRPr="00F50223">
        <w:rPr>
          <w:lang w:val="fr-FR"/>
        </w:rPr>
        <w:t xml:space="preserve">offrir au requérant le redressement de ses griefs et </w:t>
      </w:r>
      <w:r>
        <w:rPr>
          <w:lang w:val="fr-FR"/>
        </w:rPr>
        <w:t xml:space="preserve">qu’il </w:t>
      </w:r>
      <w:r w:rsidRPr="00F50223">
        <w:rPr>
          <w:lang w:val="fr-FR"/>
        </w:rPr>
        <w:t>présente des perspectives raisonnables de succès (</w:t>
      </w:r>
      <w:r w:rsidRPr="00F50223">
        <w:rPr>
          <w:i/>
          <w:lang w:val="fr-FR"/>
        </w:rPr>
        <w:t>Akdivar et autres c. Turquie</w:t>
      </w:r>
      <w:r>
        <w:rPr>
          <w:lang w:val="fr-FR"/>
        </w:rPr>
        <w:t>, 16 septembre 1996, § </w:t>
      </w:r>
      <w:r w:rsidRPr="00F50223">
        <w:rPr>
          <w:lang w:val="fr-FR"/>
        </w:rPr>
        <w:t xml:space="preserve">68, </w:t>
      </w:r>
      <w:r w:rsidRPr="00F50223">
        <w:rPr>
          <w:i/>
          <w:lang w:val="fr-FR"/>
        </w:rPr>
        <w:t>Recueil des arrêts et décisions</w:t>
      </w:r>
      <w:r w:rsidRPr="00F50223">
        <w:rPr>
          <w:lang w:val="fr-FR"/>
        </w:rPr>
        <w:t xml:space="preserve"> 1996</w:t>
      </w:r>
      <w:r>
        <w:rPr>
          <w:lang w:val="fr-FR"/>
        </w:rPr>
        <w:t>-</w:t>
      </w:r>
      <w:r w:rsidRPr="00F50223">
        <w:rPr>
          <w:lang w:val="fr-FR"/>
        </w:rPr>
        <w:t xml:space="preserve">IV, et </w:t>
      </w:r>
      <w:r w:rsidRPr="00F50223">
        <w:rPr>
          <w:i/>
          <w:snapToGrid w:val="0"/>
          <w:lang w:val="fr-FR"/>
        </w:rPr>
        <w:t xml:space="preserve">Demopoulos et autres c. Turquie </w:t>
      </w:r>
      <w:r w:rsidRPr="00F50223">
        <w:rPr>
          <w:snapToGrid w:val="0"/>
          <w:lang w:val="fr-FR"/>
        </w:rPr>
        <w:t>(déc.) [GC], n</w:t>
      </w:r>
      <w:r w:rsidRPr="00F50223">
        <w:rPr>
          <w:snapToGrid w:val="0"/>
          <w:vertAlign w:val="superscript"/>
          <w:lang w:val="fr-FR"/>
        </w:rPr>
        <w:t>os</w:t>
      </w:r>
      <w:r w:rsidRPr="00F50223">
        <w:rPr>
          <w:snapToGrid w:val="0"/>
          <w:lang w:val="fr-FR"/>
        </w:rPr>
        <w:t xml:space="preserve"> 46113/99, 3843/02, 13751/02, 13466/03, 10200/04, 14163/04, 19993/04 et 21819/04</w:t>
      </w:r>
      <w:r w:rsidRPr="00F50223">
        <w:rPr>
          <w:lang w:val="fr-FR"/>
        </w:rPr>
        <w:t>, § 70, CEDH 2010</w:t>
      </w:r>
      <w:r>
        <w:rPr>
          <w:lang w:val="fr-FR"/>
        </w:rPr>
        <w:t xml:space="preserve"> ; voir également </w:t>
      </w:r>
      <w:r>
        <w:rPr>
          <w:i/>
          <w:lang w:val="fr-FR"/>
        </w:rPr>
        <w:t>Saba c. Italie</w:t>
      </w:r>
      <w:r>
        <w:rPr>
          <w:lang w:val="fr-FR"/>
        </w:rPr>
        <w:t>, n</w:t>
      </w:r>
      <w:r w:rsidRPr="000B2C31">
        <w:rPr>
          <w:vertAlign w:val="superscript"/>
          <w:lang w:val="fr-FR"/>
        </w:rPr>
        <w:t>o</w:t>
      </w:r>
      <w:r>
        <w:rPr>
          <w:lang w:val="fr-FR"/>
        </w:rPr>
        <w:t xml:space="preserve"> </w:t>
      </w:r>
      <w:r w:rsidRPr="00F50223">
        <w:rPr>
          <w:lang w:val="fr-FR"/>
        </w:rPr>
        <w:t>36629/10</w:t>
      </w:r>
      <w:r>
        <w:rPr>
          <w:lang w:val="fr-FR"/>
        </w:rPr>
        <w:t>, § 43, 1</w:t>
      </w:r>
      <w:r w:rsidRPr="00F50223">
        <w:rPr>
          <w:vertAlign w:val="superscript"/>
          <w:lang w:val="fr-FR"/>
        </w:rPr>
        <w:t>er</w:t>
      </w:r>
      <w:r>
        <w:rPr>
          <w:lang w:val="fr-FR"/>
        </w:rPr>
        <w:t> juillet 2014</w:t>
      </w:r>
      <w:r w:rsidRPr="00F50223">
        <w:rPr>
          <w:lang w:val="fr-FR"/>
        </w:rPr>
        <w:t>)</w:t>
      </w:r>
      <w:r>
        <w:rPr>
          <w:lang w:val="fr-FR"/>
        </w:rPr>
        <w:t>.</w:t>
      </w:r>
    </w:p>
    <w:p w:rsidR="001F4B22" w:rsidRDefault="001F4B22" w:rsidP="00F5022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46</w:t>
      </w:r>
      <w:r>
        <w:rPr>
          <w:lang w:val="fr-FR"/>
        </w:rPr>
        <w:fldChar w:fldCharType="end"/>
      </w:r>
      <w:r>
        <w:rPr>
          <w:lang w:val="fr-FR"/>
        </w:rPr>
        <w:t>.  En l’espèce, la Cour note que, selon le Gouvernement qui dit se fonder sur les arrêts de</w:t>
      </w:r>
      <w:r w:rsidRPr="00835CE2">
        <w:rPr>
          <w:lang w:val="fr-FR"/>
        </w:rPr>
        <w:t xml:space="preserve"> la </w:t>
      </w:r>
      <w:r>
        <w:rPr>
          <w:lang w:val="fr-FR"/>
        </w:rPr>
        <w:t>CJCE</w:t>
      </w:r>
      <w:r w:rsidRPr="00835CE2">
        <w:rPr>
          <w:lang w:val="fr-FR"/>
        </w:rPr>
        <w:t xml:space="preserve"> </w:t>
      </w:r>
      <w:r w:rsidRPr="00835CE2">
        <w:rPr>
          <w:i/>
          <w:lang w:val="fr-FR"/>
        </w:rPr>
        <w:t>K</w:t>
      </w:r>
      <w:r>
        <w:rPr>
          <w:i/>
          <w:lang w:val="fr-FR"/>
        </w:rPr>
        <w:t>ö</w:t>
      </w:r>
      <w:r w:rsidRPr="00835CE2">
        <w:rPr>
          <w:i/>
          <w:lang w:val="fr-FR"/>
        </w:rPr>
        <w:t xml:space="preserve">bler </w:t>
      </w:r>
      <w:r w:rsidRPr="00835CE2">
        <w:rPr>
          <w:lang w:val="fr-FR"/>
        </w:rPr>
        <w:t xml:space="preserve">et </w:t>
      </w:r>
      <w:r w:rsidRPr="00835CE2">
        <w:rPr>
          <w:i/>
          <w:lang w:val="fr-FR"/>
        </w:rPr>
        <w:t>Traghetti del Mediterraneo</w:t>
      </w:r>
      <w:r>
        <w:rPr>
          <w:lang w:val="fr-FR"/>
        </w:rPr>
        <w:t xml:space="preserve">, les requérants auraient pu </w:t>
      </w:r>
      <w:r w:rsidRPr="00835CE2">
        <w:rPr>
          <w:lang w:val="fr-FR"/>
        </w:rPr>
        <w:t>introduire une action en dédommagement contre l</w:t>
      </w:r>
      <w:r>
        <w:rPr>
          <w:lang w:val="fr-FR"/>
        </w:rPr>
        <w:t>’</w:t>
      </w:r>
      <w:r w:rsidRPr="00835CE2">
        <w:rPr>
          <w:lang w:val="fr-FR"/>
        </w:rPr>
        <w:t>État devant le juge civil</w:t>
      </w:r>
      <w:r>
        <w:rPr>
          <w:lang w:val="fr-FR"/>
        </w:rPr>
        <w:t>. Elle relève que, dans les arrêts précités, la CJCE a affirmé que les particuliers devaient pouvoir obtenir la réparation des préjudices découlant d’une méconnaissance manifeste, par une juridiction de dernière instance, du droit communautaire applicable</w:t>
      </w:r>
      <w:r w:rsidRPr="00835CE2">
        <w:rPr>
          <w:lang w:val="fr-FR"/>
        </w:rPr>
        <w:t xml:space="preserve"> </w:t>
      </w:r>
      <w:r>
        <w:rPr>
          <w:lang w:val="fr-FR"/>
        </w:rPr>
        <w:t>(paragraphe </w:t>
      </w:r>
      <w:fldSimple w:instr=" REF traghettidelmediterraneo \h  \* MERGEFORMAT ">
        <w:r>
          <w:rPr>
            <w:noProof/>
            <w:lang w:val="fr-FR"/>
          </w:rPr>
          <w:t>33</w:t>
        </w:r>
      </w:fldSimple>
      <w:r>
        <w:rPr>
          <w:lang w:val="fr-FR"/>
        </w:rPr>
        <w:t xml:space="preserve"> ci-dessus). La CJCE a également estimé incompatible avec le droit communautaire une législation nationale qui, comme le faisait celle de </w:t>
      </w:r>
      <w:r w:rsidRPr="00AC728D">
        <w:rPr>
          <w:lang w:val="fr-FR"/>
        </w:rPr>
        <w:t>l</w:t>
      </w:r>
      <w:r>
        <w:rPr>
          <w:lang w:val="fr-FR"/>
        </w:rPr>
        <w:t>’</w:t>
      </w:r>
      <w:r w:rsidRPr="00AC728D">
        <w:rPr>
          <w:lang w:val="fr-FR"/>
        </w:rPr>
        <w:t>Italie à l</w:t>
      </w:r>
      <w:r>
        <w:rPr>
          <w:lang w:val="fr-FR"/>
        </w:rPr>
        <w:t>’</w:t>
      </w:r>
      <w:r w:rsidRPr="00AC728D">
        <w:rPr>
          <w:lang w:val="fr-FR"/>
        </w:rPr>
        <w:t>époque, excluait la responsabilité étatique au motif que la violation en cause résultait d</w:t>
      </w:r>
      <w:r>
        <w:rPr>
          <w:lang w:val="fr-FR"/>
        </w:rPr>
        <w:t>’</w:t>
      </w:r>
      <w:r w:rsidRPr="00AC728D">
        <w:rPr>
          <w:lang w:val="fr-FR"/>
        </w:rPr>
        <w:t xml:space="preserve">une interprétation des règles de droit ou la limitait aux seuls cas du dol ou de la faute grave. De plus, selon la </w:t>
      </w:r>
      <w:r>
        <w:rPr>
          <w:lang w:val="fr-FR"/>
        </w:rPr>
        <w:t>CJCE</w:t>
      </w:r>
      <w:r w:rsidRPr="00AC728D">
        <w:rPr>
          <w:lang w:val="fr-FR"/>
        </w:rPr>
        <w:t>, une telle limitation méconnaissait le droit communautaire si elle conduisait à exclure la responsabilité de l</w:t>
      </w:r>
      <w:r>
        <w:rPr>
          <w:lang w:val="fr-FR"/>
        </w:rPr>
        <w:t>’</w:t>
      </w:r>
      <w:r w:rsidRPr="00AC728D">
        <w:rPr>
          <w:lang w:val="fr-FR"/>
        </w:rPr>
        <w:t>État dans d</w:t>
      </w:r>
      <w:r>
        <w:rPr>
          <w:lang w:val="fr-FR"/>
        </w:rPr>
        <w:t>’</w:t>
      </w:r>
      <w:r w:rsidRPr="00AC728D">
        <w:rPr>
          <w:lang w:val="fr-FR"/>
        </w:rPr>
        <w:t xml:space="preserve">autres cas où une méconnaissance manifeste du droit applicable avait été commise (paragraphes </w:t>
      </w:r>
      <w:fldSimple w:instr=" REF traghettidelmediterraneo2 \h  \* MERGEFORMAT ">
        <w:r>
          <w:rPr>
            <w:noProof/>
            <w:lang w:val="fr-FR"/>
          </w:rPr>
          <w:t>34</w:t>
        </w:r>
      </w:fldSimple>
      <w:r w:rsidRPr="00AC728D">
        <w:rPr>
          <w:lang w:val="fr-FR"/>
        </w:rPr>
        <w:t xml:space="preserve"> et </w:t>
      </w:r>
      <w:fldSimple w:instr=" REF traghettidelmediterraneoconclusioni \h  \* MERGEFORMAT ">
        <w:r>
          <w:rPr>
            <w:noProof/>
            <w:lang w:val="fr-FR"/>
          </w:rPr>
          <w:t>35</w:t>
        </w:r>
      </w:fldSimple>
      <w:r w:rsidRPr="00AC728D">
        <w:rPr>
          <w:lang w:val="fr-FR"/>
        </w:rPr>
        <w:t xml:space="preserve"> ci-dessus).</w:t>
      </w:r>
    </w:p>
    <w:p w:rsidR="001F4B22" w:rsidRDefault="001F4B22" w:rsidP="00F50223">
      <w:pPr>
        <w:pStyle w:val="ECHRPara"/>
        <w:rPr>
          <w:rFonts w:eastAsia="Times New Roman"/>
          <w:lang w:val="fr-FR"/>
        </w:rPr>
      </w:pPr>
      <w:r w:rsidRPr="00AC728D">
        <w:rPr>
          <w:lang w:val="fr-FR"/>
        </w:rPr>
        <w:fldChar w:fldCharType="begin"/>
      </w:r>
      <w:r w:rsidRPr="00AC728D">
        <w:rPr>
          <w:lang w:val="fr-FR"/>
        </w:rPr>
        <w:instrText xml:space="preserve"> SEQ level0 \*arabic </w:instrText>
      </w:r>
      <w:r w:rsidRPr="00AC728D">
        <w:rPr>
          <w:lang w:val="fr-FR"/>
        </w:rPr>
        <w:fldChar w:fldCharType="separate"/>
      </w:r>
      <w:r>
        <w:rPr>
          <w:noProof/>
          <w:lang w:val="fr-FR"/>
        </w:rPr>
        <w:t>47</w:t>
      </w:r>
      <w:r w:rsidRPr="00AC728D">
        <w:rPr>
          <w:lang w:val="fr-FR"/>
        </w:rPr>
        <w:fldChar w:fldCharType="end"/>
      </w:r>
      <w:r w:rsidRPr="00AC728D">
        <w:rPr>
          <w:lang w:val="fr-FR"/>
        </w:rPr>
        <w:t xml:space="preserve">.  La Cour en déduit que la </w:t>
      </w:r>
      <w:r>
        <w:rPr>
          <w:lang w:val="fr-FR"/>
        </w:rPr>
        <w:t>CJCE</w:t>
      </w:r>
      <w:r w:rsidRPr="00AC728D">
        <w:rPr>
          <w:lang w:val="fr-FR"/>
        </w:rPr>
        <w:t xml:space="preserve"> n</w:t>
      </w:r>
      <w:r>
        <w:rPr>
          <w:lang w:val="fr-FR"/>
        </w:rPr>
        <w:t>’</w:t>
      </w:r>
      <w:r w:rsidRPr="00AC728D">
        <w:rPr>
          <w:lang w:val="fr-FR"/>
        </w:rPr>
        <w:t>a pas affirmé que la législation italienne de l</w:t>
      </w:r>
      <w:r>
        <w:rPr>
          <w:lang w:val="fr-FR"/>
        </w:rPr>
        <w:t>’</w:t>
      </w:r>
      <w:r w:rsidRPr="00AC728D">
        <w:rPr>
          <w:lang w:val="fr-FR"/>
        </w:rPr>
        <w:t>époque garantissait, à un degré suffisant de certitude, le droit à</w:t>
      </w:r>
      <w:r>
        <w:rPr>
          <w:lang w:val="fr-FR"/>
        </w:rPr>
        <w:t xml:space="preserve"> dédommagement en cas de « méconnaissance manifeste », par la juridiction de dernière instance, du droit communautaire applicable. Aux termes de la loi n</w:t>
      </w:r>
      <w:r w:rsidRPr="000B2C31">
        <w:rPr>
          <w:vertAlign w:val="superscript"/>
          <w:lang w:val="fr-FR"/>
        </w:rPr>
        <w:t>o</w:t>
      </w:r>
      <w:r>
        <w:rPr>
          <w:lang w:val="fr-FR"/>
        </w:rPr>
        <w:t xml:space="preserve"> 117 de 1988, telle qu’en vigueur à l’époque des faits (paragraphes </w:t>
      </w:r>
      <w:fldSimple w:instr=" REF legge117dell881 \h  \* MERGEFORMAT ">
        <w:r>
          <w:rPr>
            <w:noProof/>
            <w:szCs w:val="24"/>
            <w:lang w:val="fr-FR"/>
          </w:rPr>
          <w:t>29</w:t>
        </w:r>
      </w:fldSimple>
      <w:r>
        <w:rPr>
          <w:lang w:val="fr-FR"/>
        </w:rPr>
        <w:t xml:space="preserve"> et </w:t>
      </w:r>
      <w:fldSimple w:instr=" REF legge117dell882 \h  \* MERGEFORMAT ">
        <w:r>
          <w:rPr>
            <w:rFonts w:eastAsia="Times New Roman"/>
            <w:noProof/>
            <w:szCs w:val="24"/>
            <w:lang w:val="fr-FR"/>
          </w:rPr>
          <w:t>30</w:t>
        </w:r>
      </w:fldSimple>
      <w:r>
        <w:rPr>
          <w:lang w:val="fr-FR"/>
        </w:rPr>
        <w:t xml:space="preserve"> ci-dessus), le particulier ne pouvait obtenir la réparation des dommages subis que si la méconnaissance du droit communautaire qu’il alléguait relevait du</w:t>
      </w:r>
      <w:r w:rsidRPr="006A7230">
        <w:rPr>
          <w:rFonts w:eastAsia="Times New Roman"/>
          <w:lang w:val="fr-FR"/>
        </w:rPr>
        <w:t xml:space="preserve"> dol ou de </w:t>
      </w:r>
      <w:r>
        <w:rPr>
          <w:rFonts w:eastAsia="Times New Roman"/>
          <w:lang w:val="fr-FR"/>
        </w:rPr>
        <w:t xml:space="preserve">la </w:t>
      </w:r>
      <w:r w:rsidRPr="006A7230">
        <w:rPr>
          <w:rFonts w:eastAsia="Times New Roman"/>
          <w:lang w:val="fr-FR"/>
        </w:rPr>
        <w:t>faute grave d</w:t>
      </w:r>
      <w:r>
        <w:rPr>
          <w:rFonts w:eastAsia="Times New Roman"/>
          <w:lang w:val="fr-FR"/>
        </w:rPr>
        <w:t xml:space="preserve">u juge ou si elle s’analysait en </w:t>
      </w:r>
      <w:r w:rsidRPr="006A7230">
        <w:rPr>
          <w:rFonts w:eastAsia="Times New Roman"/>
          <w:lang w:val="fr-FR"/>
        </w:rPr>
        <w:t>un</w:t>
      </w:r>
      <w:r>
        <w:rPr>
          <w:rFonts w:eastAsia="Times New Roman"/>
          <w:lang w:val="fr-FR"/>
        </w:rPr>
        <w:t xml:space="preserve"> </w:t>
      </w:r>
      <w:r w:rsidRPr="006A7230">
        <w:rPr>
          <w:rFonts w:eastAsia="Times New Roman"/>
          <w:lang w:val="fr-FR"/>
        </w:rPr>
        <w:t>déni de justice</w:t>
      </w:r>
      <w:r>
        <w:rPr>
          <w:rFonts w:eastAsia="Times New Roman"/>
          <w:lang w:val="fr-FR"/>
        </w:rPr>
        <w:t>. En tout état de cause, aux termes de l’article 2 § 2 de la loi n</w:t>
      </w:r>
      <w:r w:rsidRPr="000B2C31">
        <w:rPr>
          <w:rFonts w:eastAsia="Times New Roman"/>
          <w:vertAlign w:val="superscript"/>
          <w:lang w:val="fr-FR"/>
        </w:rPr>
        <w:t>o</w:t>
      </w:r>
      <w:r>
        <w:rPr>
          <w:rFonts w:eastAsia="Times New Roman"/>
          <w:lang w:val="fr-FR"/>
        </w:rPr>
        <w:t xml:space="preserve"> 117 de 1988, « l’interprétation des règles de droit (...) ne [pouvait] pas donner lieu à responsabilité ».</w:t>
      </w:r>
    </w:p>
    <w:p w:rsidR="001F4B22" w:rsidRDefault="001F4B22" w:rsidP="00F50223">
      <w:pPr>
        <w:pStyle w:val="ECHRPara"/>
        <w:rPr>
          <w:lang w:val="fr-FR"/>
        </w:rPr>
      </w:pPr>
      <w:r>
        <w:rPr>
          <w:rFonts w:eastAsia="Times New Roman"/>
          <w:lang w:val="fr-FR"/>
        </w:rPr>
        <w:fldChar w:fldCharType="begin"/>
      </w:r>
      <w:r>
        <w:rPr>
          <w:rFonts w:eastAsia="Times New Roman"/>
          <w:lang w:val="fr-FR"/>
        </w:rPr>
        <w:instrText xml:space="preserve"> SEQ level0 \*arabic </w:instrText>
      </w:r>
      <w:r>
        <w:rPr>
          <w:rFonts w:eastAsia="Times New Roman"/>
          <w:lang w:val="fr-FR"/>
        </w:rPr>
        <w:fldChar w:fldCharType="separate"/>
      </w:r>
      <w:r>
        <w:rPr>
          <w:rFonts w:eastAsia="Times New Roman"/>
          <w:noProof/>
          <w:lang w:val="fr-FR"/>
        </w:rPr>
        <w:t>48</w:t>
      </w:r>
      <w:r>
        <w:rPr>
          <w:rFonts w:eastAsia="Times New Roman"/>
          <w:lang w:val="fr-FR"/>
        </w:rPr>
        <w:fldChar w:fldCharType="end"/>
      </w:r>
      <w:r>
        <w:rPr>
          <w:rFonts w:eastAsia="Times New Roman"/>
          <w:lang w:val="fr-FR"/>
        </w:rPr>
        <w:t xml:space="preserve">.  Eu égard à ce qui précède, la Cour a des doutes quant aux perspectives raisonnables de succès qu’aurait rencontrées une éventuelle action en dédommagement des requérants fondée sur la méconnaissance </w:t>
      </w:r>
      <w:r w:rsidRPr="00D13ED2">
        <w:rPr>
          <w:rFonts w:eastAsia="Times New Roman"/>
          <w:lang w:val="fr-FR"/>
        </w:rPr>
        <w:t>manifeste du droit communautaire par la Cour de cassation.</w:t>
      </w:r>
      <w:r w:rsidRPr="007D5516">
        <w:rPr>
          <w:rFonts w:eastAsia="Times New Roman"/>
          <w:lang w:val="fr-FR"/>
        </w:rPr>
        <w:t xml:space="preserve"> En particulier, les intéressés auraient pu se voir opposer que l</w:t>
      </w:r>
      <w:r>
        <w:rPr>
          <w:rFonts w:eastAsia="Times New Roman"/>
          <w:lang w:val="fr-FR"/>
        </w:rPr>
        <w:t>’</w:t>
      </w:r>
      <w:r w:rsidRPr="007D5516">
        <w:rPr>
          <w:rFonts w:eastAsia="Times New Roman"/>
          <w:lang w:val="fr-FR"/>
        </w:rPr>
        <w:t xml:space="preserve">omission </w:t>
      </w:r>
      <w:r w:rsidRPr="0033215C">
        <w:rPr>
          <w:rFonts w:eastAsia="Times New Roman"/>
          <w:lang w:val="fr-FR"/>
        </w:rPr>
        <w:t xml:space="preserve">par la Cour de cassation </w:t>
      </w:r>
      <w:r w:rsidRPr="00D13ED2">
        <w:rPr>
          <w:rFonts w:eastAsia="Times New Roman"/>
          <w:lang w:val="fr-FR"/>
        </w:rPr>
        <w:t>de poser une</w:t>
      </w:r>
      <w:r w:rsidRPr="007D5516">
        <w:rPr>
          <w:rFonts w:eastAsia="Times New Roman"/>
          <w:lang w:val="fr-FR"/>
        </w:rPr>
        <w:t xml:space="preserve"> question préjudicielle à la </w:t>
      </w:r>
      <w:r>
        <w:rPr>
          <w:rFonts w:eastAsia="Times New Roman"/>
          <w:lang w:val="fr-FR"/>
        </w:rPr>
        <w:t>CJCE</w:t>
      </w:r>
      <w:r w:rsidRPr="007D5516">
        <w:rPr>
          <w:rFonts w:eastAsia="Times New Roman"/>
          <w:lang w:val="fr-FR"/>
        </w:rPr>
        <w:t xml:space="preserve"> découlait de</w:t>
      </w:r>
      <w:r>
        <w:rPr>
          <w:rFonts w:eastAsia="Times New Roman"/>
          <w:lang w:val="fr-FR"/>
        </w:rPr>
        <w:t xml:space="preserve"> « l’interprétation des règles de droit » ou bien qu’elle ne </w:t>
      </w:r>
      <w:r>
        <w:rPr>
          <w:lang w:val="fr-FR"/>
        </w:rPr>
        <w:t>relevait pas du</w:t>
      </w:r>
      <w:r w:rsidRPr="006A7230">
        <w:rPr>
          <w:rFonts w:eastAsia="Times New Roman"/>
          <w:lang w:val="fr-FR"/>
        </w:rPr>
        <w:t xml:space="preserve"> dol ou de </w:t>
      </w:r>
      <w:r>
        <w:rPr>
          <w:rFonts w:eastAsia="Times New Roman"/>
          <w:lang w:val="fr-FR"/>
        </w:rPr>
        <w:t xml:space="preserve">la </w:t>
      </w:r>
      <w:r w:rsidRPr="006A7230">
        <w:rPr>
          <w:rFonts w:eastAsia="Times New Roman"/>
          <w:lang w:val="fr-FR"/>
        </w:rPr>
        <w:t>faute grave d</w:t>
      </w:r>
      <w:r>
        <w:rPr>
          <w:rFonts w:eastAsia="Times New Roman"/>
          <w:lang w:val="fr-FR"/>
        </w:rPr>
        <w:t>u juge.</w:t>
      </w:r>
      <w:r>
        <w:rPr>
          <w:lang w:val="fr-FR"/>
        </w:rPr>
        <w:t xml:space="preserve"> En outre, le Gouvernement n’a produit aucun exemple d’affaire où une telle action aurait été intentée avec un résultat positif dans des circonstances analogues à celles de l’espèce.</w:t>
      </w:r>
    </w:p>
    <w:p w:rsidR="001F4B22" w:rsidRDefault="001F4B22" w:rsidP="00F50223">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49</w:t>
      </w:r>
      <w:r>
        <w:rPr>
          <w:lang w:val="fr-FR"/>
        </w:rPr>
        <w:fldChar w:fldCharType="end"/>
      </w:r>
      <w:r>
        <w:rPr>
          <w:lang w:val="fr-FR"/>
        </w:rPr>
        <w:t>.  Enfin, il convient d’observer que la réforme de la loi n</w:t>
      </w:r>
      <w:r w:rsidRPr="000B2C31">
        <w:rPr>
          <w:vertAlign w:val="superscript"/>
          <w:lang w:val="fr-FR"/>
        </w:rPr>
        <w:t>o</w:t>
      </w:r>
      <w:r>
        <w:rPr>
          <w:lang w:val="fr-FR"/>
        </w:rPr>
        <w:t xml:space="preserve"> 117 de 1988 n’est entrée en vigueur que le 19 mars 2015 (paragraphe </w:t>
      </w:r>
      <w:fldSimple w:instr=" REF riformalegge11788 \h  \* MERGEFORMAT ">
        <w:r>
          <w:rPr>
            <w:rFonts w:eastAsia="Times New Roman"/>
            <w:noProof/>
            <w:szCs w:val="24"/>
            <w:lang w:val="fr-FR"/>
          </w:rPr>
          <w:t>32</w:t>
        </w:r>
      </w:fldSimple>
      <w:r>
        <w:rPr>
          <w:lang w:val="fr-FR"/>
        </w:rPr>
        <w:t xml:space="preserve"> ci-dessus), soit plus de six ans après le prononcé de l’arrêt par la Cour de cassation dans l’affaire des requérants. À cette date, le délai prévu par l’article 4 § 2 de la loi n</w:t>
      </w:r>
      <w:r w:rsidRPr="000B2C31">
        <w:rPr>
          <w:vertAlign w:val="superscript"/>
          <w:lang w:val="fr-FR"/>
        </w:rPr>
        <w:t>o</w:t>
      </w:r>
      <w:r>
        <w:rPr>
          <w:lang w:val="fr-FR"/>
        </w:rPr>
        <w:t xml:space="preserve"> 117 de 1988 pour introduire une demande en dédommagement à l’encontre de l’État (paragraphes </w:t>
      </w:r>
      <w:fldSimple w:instr=" REF legge117dell883 \h  \* MERGEFORMAT ">
        <w:r>
          <w:rPr>
            <w:rFonts w:eastAsia="Times New Roman"/>
            <w:noProof/>
            <w:szCs w:val="24"/>
            <w:lang w:val="fr-FR"/>
          </w:rPr>
          <w:t>31</w:t>
        </w:r>
      </w:fldSimple>
      <w:r>
        <w:rPr>
          <w:lang w:val="fr-FR"/>
        </w:rPr>
        <w:t xml:space="preserve"> et </w:t>
      </w:r>
      <w:fldSimple w:instr=" REF riformalegge11788 \h  \* MERGEFORMAT ">
        <w:r>
          <w:rPr>
            <w:rFonts w:eastAsia="Times New Roman"/>
            <w:noProof/>
            <w:szCs w:val="24"/>
            <w:lang w:val="fr-FR"/>
          </w:rPr>
          <w:t>32</w:t>
        </w:r>
      </w:fldSimple>
      <w:r>
        <w:rPr>
          <w:lang w:val="fr-FR"/>
        </w:rPr>
        <w:t xml:space="preserve"> ci-dessus) était expiré. Par ailleurs, le Gouvernement n’a pas soutenu que les requérants pouvaient se prévaloir des nouvelles dispositions introduites par la loi n</w:t>
      </w:r>
      <w:r w:rsidRPr="000B2C31">
        <w:rPr>
          <w:vertAlign w:val="superscript"/>
          <w:lang w:val="fr-FR"/>
        </w:rPr>
        <w:t>o</w:t>
      </w:r>
      <w:r>
        <w:rPr>
          <w:lang w:val="fr-FR"/>
        </w:rPr>
        <w:t xml:space="preserve"> 18 de 2015.</w:t>
      </w:r>
    </w:p>
    <w:p w:rsidR="001F4B22" w:rsidRPr="00F50223" w:rsidRDefault="001F4B22" w:rsidP="00F50223">
      <w:pPr>
        <w:pStyle w:val="ECHRPara"/>
        <w:rPr>
          <w:highlight w:val="yellow"/>
          <w:lang w:val="fr-FR"/>
        </w:rPr>
      </w:pPr>
      <w:r>
        <w:rPr>
          <w:lang w:val="fr-FR"/>
        </w:rPr>
        <w:fldChar w:fldCharType="begin"/>
      </w:r>
      <w:r>
        <w:rPr>
          <w:lang w:val="fr-FR"/>
        </w:rPr>
        <w:instrText xml:space="preserve"> SEQ level0 \*arabic </w:instrText>
      </w:r>
      <w:r>
        <w:rPr>
          <w:lang w:val="fr-FR"/>
        </w:rPr>
        <w:fldChar w:fldCharType="separate"/>
      </w:r>
      <w:r>
        <w:rPr>
          <w:noProof/>
          <w:lang w:val="fr-FR"/>
        </w:rPr>
        <w:t>50</w:t>
      </w:r>
      <w:r>
        <w:rPr>
          <w:lang w:val="fr-FR"/>
        </w:rPr>
        <w:fldChar w:fldCharType="end"/>
      </w:r>
      <w:r>
        <w:rPr>
          <w:lang w:val="fr-FR"/>
        </w:rPr>
        <w:t>.  </w:t>
      </w:r>
      <w:r w:rsidRPr="00F50223">
        <w:rPr>
          <w:lang w:val="fr-FR"/>
        </w:rPr>
        <w:t>Il s</w:t>
      </w:r>
      <w:r>
        <w:rPr>
          <w:lang w:val="fr-FR"/>
        </w:rPr>
        <w:t>’</w:t>
      </w:r>
      <w:r w:rsidRPr="00F50223">
        <w:rPr>
          <w:lang w:val="fr-FR"/>
        </w:rPr>
        <w:t>ensuit que l</w:t>
      </w:r>
      <w:r>
        <w:rPr>
          <w:lang w:val="fr-FR"/>
        </w:rPr>
        <w:t>’</w:t>
      </w:r>
      <w:r w:rsidRPr="00F50223">
        <w:rPr>
          <w:lang w:val="fr-FR"/>
        </w:rPr>
        <w:t>exception du Gouvernement tirée du non-épuisement des voies de recours internes doit être rejetée.</w:t>
      </w:r>
    </w:p>
    <w:p w:rsidR="001F4B22" w:rsidRPr="005F73B6" w:rsidRDefault="001F4B22" w:rsidP="009208FF">
      <w:pPr>
        <w:pStyle w:val="ECHRHeading3"/>
        <w:rPr>
          <w:lang w:val="fr-FR"/>
        </w:rPr>
      </w:pPr>
      <w:r w:rsidRPr="005F73B6">
        <w:rPr>
          <w:lang w:val="fr-FR"/>
        </w:rPr>
        <w:t>2.  Autres motifs d</w:t>
      </w:r>
      <w:r>
        <w:rPr>
          <w:lang w:val="fr-FR"/>
        </w:rPr>
        <w:t>’</w:t>
      </w:r>
      <w:r w:rsidRPr="005F73B6">
        <w:rPr>
          <w:lang w:val="fr-FR"/>
        </w:rPr>
        <w:t>irrecevabilité</w:t>
      </w:r>
    </w:p>
    <w:p w:rsidR="001F4B22" w:rsidRDefault="001F4B22" w:rsidP="00973C1E">
      <w:pPr>
        <w:pStyle w:val="ECHRHeading4"/>
        <w:rPr>
          <w:lang w:val="fr-FR"/>
        </w:rPr>
      </w:pPr>
      <w:r>
        <w:rPr>
          <w:lang w:val="fr-FR"/>
        </w:rPr>
        <w:t>a)  Arguments des parties</w:t>
      </w:r>
    </w:p>
    <w:p w:rsidR="001F4B22" w:rsidRPr="00973C1E" w:rsidRDefault="001F4B22" w:rsidP="00973C1E">
      <w:pPr>
        <w:pStyle w:val="ECHRHeading5"/>
        <w:rPr>
          <w:lang w:val="fr-FR"/>
        </w:rPr>
      </w:pPr>
      <w:r>
        <w:rPr>
          <w:lang w:val="fr-FR"/>
        </w:rPr>
        <w:t>i.  Les requérants</w:t>
      </w:r>
    </w:p>
    <w:bookmarkStart w:id="17" w:name="grief4istanza1"/>
    <w:p w:rsidR="001F4B22" w:rsidRPr="00790333" w:rsidRDefault="001F4B22" w:rsidP="00973C1E">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51</w:t>
      </w:r>
      <w:r>
        <w:rPr>
          <w:lang w:val="fr-FR"/>
        </w:rPr>
        <w:fldChar w:fldCharType="end"/>
      </w:r>
      <w:bookmarkEnd w:id="17"/>
      <w:r>
        <w:rPr>
          <w:lang w:val="fr-FR"/>
        </w:rPr>
        <w:t>.  </w:t>
      </w:r>
      <w:r w:rsidRPr="00790333">
        <w:rPr>
          <w:lang w:val="fr-FR"/>
        </w:rPr>
        <w:t xml:space="preserve">Les requérants allèguent en premier lieu que la Cour de cassation a motivé le rejet de leur pourvoi de manière approximative et contradictoire, </w:t>
      </w:r>
      <w:r>
        <w:rPr>
          <w:lang w:val="fr-FR"/>
        </w:rPr>
        <w:t xml:space="preserve">en </w:t>
      </w:r>
      <w:r w:rsidRPr="00790333">
        <w:rPr>
          <w:lang w:val="fr-FR"/>
        </w:rPr>
        <w:t xml:space="preserve">se basant </w:t>
      </w:r>
      <w:r>
        <w:rPr>
          <w:lang w:val="fr-FR"/>
        </w:rPr>
        <w:t xml:space="preserve">selon eux </w:t>
      </w:r>
      <w:r w:rsidRPr="00790333">
        <w:rPr>
          <w:lang w:val="fr-FR"/>
        </w:rPr>
        <w:t>sur une description erronée et une mauvaise compréhension de leur grief devant le tribunal de Rome.</w:t>
      </w:r>
    </w:p>
    <w:p w:rsidR="001F4B22" w:rsidRDefault="001F4B22" w:rsidP="00973C1E">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52</w:t>
      </w:r>
      <w:r>
        <w:rPr>
          <w:lang w:val="fr-FR"/>
        </w:rPr>
        <w:fldChar w:fldCharType="end"/>
      </w:r>
      <w:r>
        <w:rPr>
          <w:lang w:val="fr-FR"/>
        </w:rPr>
        <w:t>.  </w:t>
      </w:r>
      <w:r w:rsidRPr="00790333">
        <w:rPr>
          <w:lang w:val="fr-FR"/>
        </w:rPr>
        <w:t>Les requérants rappellent en outre que</w:t>
      </w:r>
      <w:r>
        <w:rPr>
          <w:lang w:val="fr-FR"/>
        </w:rPr>
        <w:t>,</w:t>
      </w:r>
      <w:r w:rsidRPr="00790333">
        <w:rPr>
          <w:lang w:val="fr-FR"/>
        </w:rPr>
        <w:t xml:space="preserve"> dans leur pourvoi</w:t>
      </w:r>
      <w:r>
        <w:rPr>
          <w:lang w:val="fr-FR"/>
        </w:rPr>
        <w:t>,</w:t>
      </w:r>
      <w:r w:rsidRPr="00790333">
        <w:rPr>
          <w:lang w:val="fr-FR"/>
        </w:rPr>
        <w:t xml:space="preserve"> ils avaient cité un arrêt (n</w:t>
      </w:r>
      <w:r w:rsidRPr="000B2C31">
        <w:rPr>
          <w:vertAlign w:val="superscript"/>
          <w:lang w:val="fr-FR"/>
        </w:rPr>
        <w:t>o</w:t>
      </w:r>
      <w:r w:rsidRPr="00790333">
        <w:rPr>
          <w:lang w:val="fr-FR"/>
        </w:rPr>
        <w:t xml:space="preserve"> 7630 du 16 mai 2003), </w:t>
      </w:r>
      <w:r>
        <w:rPr>
          <w:lang w:val="fr-FR"/>
        </w:rPr>
        <w:t>dans lequel</w:t>
      </w:r>
      <w:r w:rsidRPr="00790333">
        <w:rPr>
          <w:lang w:val="fr-FR"/>
        </w:rPr>
        <w:t xml:space="preserve"> la troisième section de la </w:t>
      </w:r>
      <w:r w:rsidRPr="00232956">
        <w:rPr>
          <w:lang w:val="fr-FR"/>
        </w:rPr>
        <w:t xml:space="preserve">Cour de cassation aurait accueilli une demande identique à la leur, présentée par un autre médecin. </w:t>
      </w:r>
      <w:r>
        <w:rPr>
          <w:lang w:val="fr-FR"/>
        </w:rPr>
        <w:t>Ils estiment que, e</w:t>
      </w:r>
      <w:r w:rsidRPr="0033215C">
        <w:rPr>
          <w:lang w:val="fr-FR"/>
        </w:rPr>
        <w:t xml:space="preserve">n ne </w:t>
      </w:r>
      <w:r w:rsidRPr="00232956">
        <w:rPr>
          <w:lang w:val="fr-FR"/>
        </w:rPr>
        <w:t>mentionn</w:t>
      </w:r>
      <w:r w:rsidRPr="0033215C">
        <w:rPr>
          <w:lang w:val="fr-FR"/>
        </w:rPr>
        <w:t>ant pas</w:t>
      </w:r>
      <w:r w:rsidRPr="00232956">
        <w:rPr>
          <w:lang w:val="fr-FR"/>
        </w:rPr>
        <w:t xml:space="preserve"> cet arrêt et </w:t>
      </w:r>
      <w:r w:rsidRPr="0033215C">
        <w:rPr>
          <w:lang w:val="fr-FR"/>
        </w:rPr>
        <w:t>en n</w:t>
      </w:r>
      <w:r>
        <w:rPr>
          <w:lang w:val="fr-FR"/>
        </w:rPr>
        <w:t>’</w:t>
      </w:r>
      <w:r w:rsidRPr="00232956">
        <w:rPr>
          <w:lang w:val="fr-FR"/>
        </w:rPr>
        <w:t>expliqu</w:t>
      </w:r>
      <w:r w:rsidRPr="0033215C">
        <w:rPr>
          <w:lang w:val="fr-FR"/>
        </w:rPr>
        <w:t>ant pas</w:t>
      </w:r>
      <w:r w:rsidRPr="00232956">
        <w:rPr>
          <w:lang w:val="fr-FR"/>
        </w:rPr>
        <w:t xml:space="preserve"> pourquoi elle ne le considérait pas comme pertinent, la Cour de cassation s</w:t>
      </w:r>
      <w:r>
        <w:rPr>
          <w:lang w:val="fr-FR"/>
        </w:rPr>
        <w:t>’est</w:t>
      </w:r>
      <w:r w:rsidRPr="00232956">
        <w:rPr>
          <w:lang w:val="fr-FR"/>
        </w:rPr>
        <w:t xml:space="preserve"> écartée de sa jurisprudence. De plus, selon les intéressés, la haute juridiction italienne a cité l</w:t>
      </w:r>
      <w:r>
        <w:rPr>
          <w:lang w:val="fr-FR"/>
        </w:rPr>
        <w:t>’</w:t>
      </w:r>
      <w:r w:rsidRPr="00232956">
        <w:rPr>
          <w:lang w:val="fr-FR"/>
        </w:rPr>
        <w:t>un de ses précédents (l</w:t>
      </w:r>
      <w:r>
        <w:rPr>
          <w:lang w:val="fr-FR"/>
        </w:rPr>
        <w:t>’</w:t>
      </w:r>
      <w:r w:rsidRPr="00232956">
        <w:rPr>
          <w:lang w:val="fr-FR"/>
        </w:rPr>
        <w:t>arrêt</w:t>
      </w:r>
      <w:r>
        <w:rPr>
          <w:lang w:val="fr-FR"/>
        </w:rPr>
        <w:t> </w:t>
      </w:r>
      <w:r w:rsidRPr="00232956">
        <w:rPr>
          <w:lang w:val="fr-FR"/>
        </w:rPr>
        <w:t>n</w:t>
      </w:r>
      <w:r w:rsidRPr="000B2C31">
        <w:rPr>
          <w:vertAlign w:val="superscript"/>
          <w:lang w:val="fr-FR"/>
        </w:rPr>
        <w:t>o</w:t>
      </w:r>
      <w:r w:rsidRPr="00232956">
        <w:rPr>
          <w:lang w:val="fr-FR"/>
        </w:rPr>
        <w:t xml:space="preserve"> 3283 du 12</w:t>
      </w:r>
      <w:r>
        <w:rPr>
          <w:lang w:val="fr-FR"/>
        </w:rPr>
        <w:t> </w:t>
      </w:r>
      <w:r w:rsidRPr="00790333">
        <w:rPr>
          <w:lang w:val="fr-FR"/>
        </w:rPr>
        <w:t xml:space="preserve">février 2008), qui </w:t>
      </w:r>
      <w:r>
        <w:rPr>
          <w:lang w:val="fr-FR"/>
        </w:rPr>
        <w:t>serait allé</w:t>
      </w:r>
      <w:r w:rsidRPr="00790333">
        <w:rPr>
          <w:lang w:val="fr-FR"/>
        </w:rPr>
        <w:t xml:space="preserve"> dans le sens préconisé par les requérants. En dépit de cela, elle a décidé de les débouter de leur pourvoi.</w:t>
      </w:r>
    </w:p>
    <w:p w:rsidR="001F4B22" w:rsidRPr="00790333" w:rsidRDefault="001F4B22" w:rsidP="00973C1E">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53</w:t>
      </w:r>
      <w:r>
        <w:rPr>
          <w:lang w:val="fr-FR"/>
        </w:rPr>
        <w:fldChar w:fldCharType="end"/>
      </w:r>
      <w:r>
        <w:rPr>
          <w:lang w:val="fr-FR"/>
        </w:rPr>
        <w:t>.  </w:t>
      </w:r>
      <w:r w:rsidRPr="00D53992">
        <w:rPr>
          <w:lang w:val="fr-FR"/>
        </w:rPr>
        <w:t>Les requérants soutiennent ensuite que le rejet de leur pourvoi par la Cour de cassation n</w:t>
      </w:r>
      <w:r>
        <w:rPr>
          <w:lang w:val="fr-FR"/>
        </w:rPr>
        <w:t>’</w:t>
      </w:r>
      <w:r w:rsidRPr="00D53992">
        <w:rPr>
          <w:lang w:val="fr-FR"/>
        </w:rPr>
        <w:t>était pas motivé de manière adéquate, et que, de plus, cette juridiction a régulièrement donné gain de cause à des personnes se trouvant dans des situations identiques à la leur. Ils renvoient aux arrêts</w:t>
      </w:r>
      <w:r>
        <w:rPr>
          <w:lang w:val="fr-FR"/>
        </w:rPr>
        <w:t> </w:t>
      </w:r>
      <w:r w:rsidRPr="00D53992">
        <w:rPr>
          <w:lang w:val="fr-FR"/>
        </w:rPr>
        <w:t>n</w:t>
      </w:r>
      <w:r w:rsidRPr="00D53992">
        <w:rPr>
          <w:vertAlign w:val="superscript"/>
          <w:lang w:val="fr-FR"/>
        </w:rPr>
        <w:t>o</w:t>
      </w:r>
      <w:r w:rsidRPr="00D53992">
        <w:rPr>
          <w:lang w:val="fr-FR"/>
        </w:rPr>
        <w:t>7630 du 16 mai 2003, n</w:t>
      </w:r>
      <w:r w:rsidRPr="00D53992">
        <w:rPr>
          <w:vertAlign w:val="superscript"/>
          <w:lang w:val="fr-FR"/>
        </w:rPr>
        <w:t>o</w:t>
      </w:r>
      <w:r w:rsidRPr="00D53992">
        <w:rPr>
          <w:lang w:val="fr-FR"/>
        </w:rPr>
        <w:t> 3283 de 2008, n</w:t>
      </w:r>
      <w:r w:rsidRPr="00D53992">
        <w:rPr>
          <w:vertAlign w:val="superscript"/>
          <w:lang w:val="fr-FR"/>
        </w:rPr>
        <w:t>os</w:t>
      </w:r>
      <w:r w:rsidRPr="00D53992">
        <w:rPr>
          <w:lang w:val="fr-FR"/>
        </w:rPr>
        <w:t xml:space="preserve"> 24088 et 24092 du 17 novembre 2011, n</w:t>
      </w:r>
      <w:r w:rsidRPr="00D53992">
        <w:rPr>
          <w:vertAlign w:val="superscript"/>
          <w:lang w:val="fr-FR"/>
        </w:rPr>
        <w:t>o</w:t>
      </w:r>
      <w:r w:rsidRPr="00D53992">
        <w:rPr>
          <w:lang w:val="fr-FR"/>
        </w:rPr>
        <w:t xml:space="preserve"> 24816 du 24 novembre 2011, n</w:t>
      </w:r>
      <w:r w:rsidRPr="00D53992">
        <w:rPr>
          <w:vertAlign w:val="superscript"/>
          <w:lang w:val="fr-FR"/>
        </w:rPr>
        <w:t>o</w:t>
      </w:r>
      <w:r w:rsidRPr="00D53992">
        <w:rPr>
          <w:lang w:val="fr-FR"/>
        </w:rPr>
        <w:t xml:space="preserve"> 4785 de 2012 et n</w:t>
      </w:r>
      <w:r w:rsidRPr="00D53992">
        <w:rPr>
          <w:vertAlign w:val="superscript"/>
          <w:lang w:val="fr-FR"/>
        </w:rPr>
        <w:t>o</w:t>
      </w:r>
      <w:r w:rsidRPr="00D53992">
        <w:rPr>
          <w:lang w:val="fr-FR"/>
        </w:rPr>
        <w:t> 7961 de 2012 où, faisant application de la jurisprudence de la CJCE en la matière, la haute juridiction italienne aurait accordé un dédommagement à des médecins n</w:t>
      </w:r>
      <w:r>
        <w:rPr>
          <w:lang w:val="fr-FR"/>
        </w:rPr>
        <w:t>’</w:t>
      </w:r>
      <w:r w:rsidRPr="00D53992">
        <w:rPr>
          <w:lang w:val="fr-FR"/>
        </w:rPr>
        <w:t>ayant pas pu participer à des cours de spécialisation en raison de l</w:t>
      </w:r>
      <w:r>
        <w:rPr>
          <w:lang w:val="fr-FR"/>
        </w:rPr>
        <w:t>’</w:t>
      </w:r>
      <w:r w:rsidRPr="00D53992">
        <w:rPr>
          <w:lang w:val="fr-FR"/>
        </w:rPr>
        <w:t>inertie de l</w:t>
      </w:r>
      <w:r>
        <w:rPr>
          <w:lang w:val="fr-FR"/>
        </w:rPr>
        <w:t>’</w:t>
      </w:r>
      <w:r w:rsidRPr="00D53992">
        <w:rPr>
          <w:lang w:val="fr-FR"/>
        </w:rPr>
        <w:t>État italien dans la transposition en droit interne des directives communautaires n</w:t>
      </w:r>
      <w:r w:rsidRPr="00D53992">
        <w:rPr>
          <w:vertAlign w:val="superscript"/>
          <w:lang w:val="fr-FR"/>
        </w:rPr>
        <w:t>os</w:t>
      </w:r>
      <w:r w:rsidRPr="00D53992">
        <w:rPr>
          <w:lang w:val="fr-FR"/>
        </w:rPr>
        <w:t xml:space="preserve"> 363 du 16 juin 1975 et 82 du 26 janvier 1976. Les requérants indiquent également que, dans ses conclusions, le procureur général près la Cour de cassation, qui aurait exprimé la nécessité de garantir l</w:t>
      </w:r>
      <w:r>
        <w:rPr>
          <w:lang w:val="fr-FR"/>
        </w:rPr>
        <w:t>’</w:t>
      </w:r>
      <w:r w:rsidRPr="00D53992">
        <w:rPr>
          <w:lang w:val="fr-FR"/>
        </w:rPr>
        <w:t>uniformité dans l</w:t>
      </w:r>
      <w:r>
        <w:rPr>
          <w:lang w:val="fr-FR"/>
        </w:rPr>
        <w:t>’</w:t>
      </w:r>
      <w:r w:rsidRPr="00D53992">
        <w:rPr>
          <w:lang w:val="fr-FR"/>
        </w:rPr>
        <w:t>application du droit, avait demandé d</w:t>
      </w:r>
      <w:r>
        <w:rPr>
          <w:lang w:val="fr-FR"/>
        </w:rPr>
        <w:t>’</w:t>
      </w:r>
      <w:r w:rsidRPr="00D53992">
        <w:rPr>
          <w:lang w:val="fr-FR"/>
        </w:rPr>
        <w:t>accueillir leur pourvoi. Il y aurait donc eu violation du principe de la sécurité juridique, sans que, aux yeux des requérants, le revirement de jurisprudence litigieux fût justifié par un besoin social impérieux, si bien que le rejet du pourvoi aurait été imprévisible et arbitraire.</w:t>
      </w:r>
    </w:p>
    <w:p w:rsidR="001F4B22" w:rsidRPr="00790333" w:rsidRDefault="001F4B22" w:rsidP="00973C1E">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54</w:t>
      </w:r>
      <w:r>
        <w:rPr>
          <w:lang w:val="fr-FR"/>
        </w:rPr>
        <w:fldChar w:fldCharType="end"/>
      </w:r>
      <w:r>
        <w:rPr>
          <w:lang w:val="fr-FR"/>
        </w:rPr>
        <w:t>.  En outre, les requérants reprochent à l</w:t>
      </w:r>
      <w:r w:rsidRPr="00790333">
        <w:rPr>
          <w:lang w:val="fr-FR"/>
        </w:rPr>
        <w:t xml:space="preserve">a Cour de cassation </w:t>
      </w:r>
      <w:r>
        <w:rPr>
          <w:lang w:val="fr-FR"/>
        </w:rPr>
        <w:t>d’avoir</w:t>
      </w:r>
      <w:r w:rsidRPr="00790333">
        <w:rPr>
          <w:lang w:val="fr-FR"/>
        </w:rPr>
        <w:t xml:space="preserve"> </w:t>
      </w:r>
      <w:r>
        <w:rPr>
          <w:lang w:val="fr-FR"/>
        </w:rPr>
        <w:t>aussi</w:t>
      </w:r>
      <w:r w:rsidRPr="00790333">
        <w:rPr>
          <w:lang w:val="fr-FR"/>
        </w:rPr>
        <w:t xml:space="preserve"> violé le droit de l</w:t>
      </w:r>
      <w:r>
        <w:rPr>
          <w:lang w:val="fr-FR"/>
        </w:rPr>
        <w:t>’</w:t>
      </w:r>
      <w:r w:rsidRPr="00790333">
        <w:rPr>
          <w:lang w:val="fr-FR"/>
        </w:rPr>
        <w:t xml:space="preserve">UE, </w:t>
      </w:r>
      <w:r>
        <w:rPr>
          <w:lang w:val="fr-FR"/>
        </w:rPr>
        <w:t>au motif qu’</w:t>
      </w:r>
      <w:r w:rsidRPr="00790333">
        <w:rPr>
          <w:lang w:val="fr-FR"/>
        </w:rPr>
        <w:t>elle a</w:t>
      </w:r>
      <w:r>
        <w:rPr>
          <w:lang w:val="fr-FR"/>
        </w:rPr>
        <w:t>urait</w:t>
      </w:r>
      <w:r w:rsidRPr="00790333">
        <w:rPr>
          <w:lang w:val="fr-FR"/>
        </w:rPr>
        <w:t xml:space="preserve"> dit que les directives</w:t>
      </w:r>
      <w:r>
        <w:rPr>
          <w:lang w:val="fr-FR"/>
        </w:rPr>
        <w:t> </w:t>
      </w:r>
      <w:r w:rsidRPr="00790333">
        <w:rPr>
          <w:lang w:val="fr-FR"/>
        </w:rPr>
        <w:t>n</w:t>
      </w:r>
      <w:r w:rsidRPr="00790333">
        <w:rPr>
          <w:vertAlign w:val="superscript"/>
          <w:lang w:val="fr-FR"/>
        </w:rPr>
        <w:t>os</w:t>
      </w:r>
      <w:r>
        <w:rPr>
          <w:lang w:val="fr-FR"/>
        </w:rPr>
        <w:t> </w:t>
      </w:r>
      <w:r w:rsidRPr="00790333">
        <w:rPr>
          <w:lang w:val="fr-FR"/>
        </w:rPr>
        <w:t>363 du 16 juin 1975 et 82 du 26 janvier 1976 n</w:t>
      </w:r>
      <w:r>
        <w:rPr>
          <w:lang w:val="fr-FR"/>
        </w:rPr>
        <w:t>’</w:t>
      </w:r>
      <w:r w:rsidRPr="00790333">
        <w:rPr>
          <w:lang w:val="fr-FR"/>
        </w:rPr>
        <w:t>avaient pas d</w:t>
      </w:r>
      <w:r>
        <w:rPr>
          <w:lang w:val="fr-FR"/>
        </w:rPr>
        <w:t>’</w:t>
      </w:r>
      <w:r w:rsidRPr="00790333">
        <w:rPr>
          <w:lang w:val="fr-FR"/>
        </w:rPr>
        <w:t xml:space="preserve">application immédiate dans les États membres, alors que le principe inverse aurait été affirmé par la </w:t>
      </w:r>
      <w:r>
        <w:rPr>
          <w:lang w:val="fr-FR"/>
        </w:rPr>
        <w:t>CJCE</w:t>
      </w:r>
      <w:r w:rsidRPr="00790333">
        <w:rPr>
          <w:lang w:val="fr-FR"/>
        </w:rPr>
        <w:t xml:space="preserve"> (</w:t>
      </w:r>
      <w:r>
        <w:rPr>
          <w:lang w:val="fr-FR"/>
        </w:rPr>
        <w:t xml:space="preserve">voir, notamment, les </w:t>
      </w:r>
      <w:r w:rsidRPr="00790333">
        <w:rPr>
          <w:lang w:val="fr-FR"/>
        </w:rPr>
        <w:t>arrêt</w:t>
      </w:r>
      <w:r>
        <w:rPr>
          <w:lang w:val="fr-FR"/>
        </w:rPr>
        <w:t>s</w:t>
      </w:r>
      <w:r w:rsidRPr="00790333">
        <w:rPr>
          <w:lang w:val="fr-FR"/>
        </w:rPr>
        <w:t xml:space="preserve"> </w:t>
      </w:r>
      <w:r w:rsidRPr="00790333">
        <w:rPr>
          <w:i/>
          <w:lang w:val="fr-FR"/>
        </w:rPr>
        <w:t>Carbonari</w:t>
      </w:r>
      <w:r>
        <w:rPr>
          <w:i/>
          <w:lang w:val="fr-FR"/>
        </w:rPr>
        <w:t xml:space="preserve"> </w:t>
      </w:r>
      <w:r>
        <w:rPr>
          <w:lang w:val="fr-FR"/>
        </w:rPr>
        <w:t>et</w:t>
      </w:r>
      <w:r w:rsidRPr="00790333">
        <w:rPr>
          <w:lang w:val="fr-FR"/>
        </w:rPr>
        <w:t xml:space="preserve"> </w:t>
      </w:r>
      <w:r w:rsidRPr="00790333">
        <w:rPr>
          <w:i/>
          <w:lang w:val="fr-FR"/>
        </w:rPr>
        <w:t>Gozza</w:t>
      </w:r>
      <w:r>
        <w:rPr>
          <w:lang w:val="fr-FR"/>
        </w:rPr>
        <w:t>, précités</w:t>
      </w:r>
      <w:r w:rsidRPr="00790333">
        <w:rPr>
          <w:lang w:val="fr-FR"/>
        </w:rPr>
        <w:t>).</w:t>
      </w:r>
    </w:p>
    <w:bookmarkStart w:id="18" w:name="grief4istanzafine"/>
    <w:p w:rsidR="001F4B22" w:rsidRPr="00FB4FA7" w:rsidRDefault="001F4B22" w:rsidP="00973C1E">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55</w:t>
      </w:r>
      <w:r>
        <w:rPr>
          <w:lang w:val="fr-FR"/>
        </w:rPr>
        <w:fldChar w:fldCharType="end"/>
      </w:r>
      <w:bookmarkEnd w:id="18"/>
      <w:r>
        <w:rPr>
          <w:lang w:val="fr-FR"/>
        </w:rPr>
        <w:t>.  </w:t>
      </w:r>
      <w:r w:rsidRPr="00790333">
        <w:rPr>
          <w:lang w:val="fr-FR"/>
        </w:rPr>
        <w:t xml:space="preserve">Les requérants </w:t>
      </w:r>
      <w:r>
        <w:rPr>
          <w:lang w:val="fr-FR"/>
        </w:rPr>
        <w:t xml:space="preserve">indiquent de surcroît </w:t>
      </w:r>
      <w:r w:rsidRPr="00790333">
        <w:rPr>
          <w:lang w:val="fr-FR"/>
        </w:rPr>
        <w:t>que le tribunal de Rome avait reconnu l</w:t>
      </w:r>
      <w:r>
        <w:rPr>
          <w:lang w:val="fr-FR"/>
        </w:rPr>
        <w:t>’</w:t>
      </w:r>
      <w:r w:rsidRPr="00790333">
        <w:rPr>
          <w:lang w:val="fr-FR"/>
        </w:rPr>
        <w:t xml:space="preserve">existence théorique de leur droit à dédommagement. </w:t>
      </w:r>
      <w:r>
        <w:rPr>
          <w:lang w:val="fr-FR"/>
        </w:rPr>
        <w:t xml:space="preserve">Ils estiment que, l’administration n’ayant pas attaqué </w:t>
      </w:r>
      <w:r w:rsidRPr="00790333">
        <w:rPr>
          <w:lang w:val="fr-FR"/>
        </w:rPr>
        <w:t>l</w:t>
      </w:r>
      <w:r>
        <w:rPr>
          <w:lang w:val="fr-FR"/>
        </w:rPr>
        <w:t xml:space="preserve">e jugement de première instance, </w:t>
      </w:r>
      <w:r w:rsidRPr="00790333">
        <w:rPr>
          <w:lang w:val="fr-FR"/>
        </w:rPr>
        <w:t>la Cour de cassation n</w:t>
      </w:r>
      <w:r>
        <w:rPr>
          <w:lang w:val="fr-FR"/>
        </w:rPr>
        <w:t>’</w:t>
      </w:r>
      <w:r w:rsidRPr="00790333">
        <w:rPr>
          <w:lang w:val="fr-FR"/>
        </w:rPr>
        <w:t xml:space="preserve">aurait pas </w:t>
      </w:r>
      <w:r>
        <w:rPr>
          <w:lang w:val="fr-FR"/>
        </w:rPr>
        <w:t xml:space="preserve">dû </w:t>
      </w:r>
      <w:r w:rsidRPr="00FB4FA7">
        <w:rPr>
          <w:lang w:val="fr-FR"/>
        </w:rPr>
        <w:t xml:space="preserve">pouvoir </w:t>
      </w:r>
      <w:r>
        <w:rPr>
          <w:lang w:val="fr-FR"/>
        </w:rPr>
        <w:t>remettre en cause cette appréciation,</w:t>
      </w:r>
      <w:r w:rsidRPr="00FB4FA7">
        <w:rPr>
          <w:lang w:val="fr-FR"/>
        </w:rPr>
        <w:t xml:space="preserve"> qui, selon les intéressés, avait acquis </w:t>
      </w:r>
      <w:r w:rsidRPr="0033215C">
        <w:rPr>
          <w:lang w:val="fr-FR"/>
        </w:rPr>
        <w:t>force de</w:t>
      </w:r>
      <w:r w:rsidRPr="00FB4FA7">
        <w:rPr>
          <w:lang w:val="fr-FR"/>
        </w:rPr>
        <w:t xml:space="preserve"> chose jugée.</w:t>
      </w:r>
    </w:p>
    <w:p w:rsidR="001F4B22" w:rsidRDefault="001F4B22" w:rsidP="00973C1E">
      <w:pPr>
        <w:pStyle w:val="ECHRPara"/>
        <w:rPr>
          <w:lang w:val="fr-FR"/>
        </w:rPr>
      </w:pPr>
      <w:r w:rsidRPr="00FB4FA7">
        <w:rPr>
          <w:lang w:val="fr-FR"/>
        </w:rPr>
        <w:fldChar w:fldCharType="begin"/>
      </w:r>
      <w:r w:rsidRPr="00FB4FA7">
        <w:rPr>
          <w:lang w:val="fr-FR"/>
        </w:rPr>
        <w:instrText xml:space="preserve"> SEQ level0 \*arabic </w:instrText>
      </w:r>
      <w:r w:rsidRPr="00FB4FA7">
        <w:rPr>
          <w:lang w:val="fr-FR"/>
        </w:rPr>
        <w:fldChar w:fldCharType="separate"/>
      </w:r>
      <w:r>
        <w:rPr>
          <w:noProof/>
          <w:lang w:val="fr-FR"/>
        </w:rPr>
        <w:t>56</w:t>
      </w:r>
      <w:r w:rsidRPr="00FB4FA7">
        <w:rPr>
          <w:lang w:val="fr-FR"/>
        </w:rPr>
        <w:fldChar w:fldCharType="end"/>
      </w:r>
      <w:r w:rsidRPr="00FB4FA7">
        <w:rPr>
          <w:lang w:val="fr-FR"/>
        </w:rPr>
        <w:t xml:space="preserve">.  Enfin, les requérants </w:t>
      </w:r>
      <w:r>
        <w:rPr>
          <w:lang w:val="fr-FR"/>
        </w:rPr>
        <w:t>reprochent à</w:t>
      </w:r>
      <w:r w:rsidRPr="00FB4FA7">
        <w:rPr>
          <w:lang w:val="fr-FR"/>
        </w:rPr>
        <w:t xml:space="preserve"> la Cour de cassation </w:t>
      </w:r>
      <w:r>
        <w:rPr>
          <w:lang w:val="fr-FR"/>
        </w:rPr>
        <w:t>d’avoir</w:t>
      </w:r>
      <w:r w:rsidRPr="00790333">
        <w:rPr>
          <w:lang w:val="fr-FR"/>
        </w:rPr>
        <w:t xml:space="preserve"> ignoré leur demande de renvoi préjudiciel, </w:t>
      </w:r>
      <w:r>
        <w:rPr>
          <w:lang w:val="fr-FR"/>
        </w:rPr>
        <w:t>et ce d’après eux en violation</w:t>
      </w:r>
      <w:r w:rsidRPr="00790333">
        <w:rPr>
          <w:lang w:val="fr-FR"/>
        </w:rPr>
        <w:t xml:space="preserve"> </w:t>
      </w:r>
      <w:r>
        <w:rPr>
          <w:lang w:val="fr-FR"/>
        </w:rPr>
        <w:t>d</w:t>
      </w:r>
      <w:r w:rsidRPr="00790333">
        <w:rPr>
          <w:lang w:val="fr-FR"/>
        </w:rPr>
        <w:t>es principes du procès équitable.</w:t>
      </w:r>
    </w:p>
    <w:p w:rsidR="001F4B22" w:rsidRPr="00AD412E" w:rsidRDefault="001F4B22" w:rsidP="00973C1E">
      <w:pPr>
        <w:pStyle w:val="ECHRHeading5"/>
        <w:rPr>
          <w:lang w:val="fr-FR"/>
        </w:rPr>
      </w:pPr>
      <w:r>
        <w:rPr>
          <w:lang w:val="fr-FR"/>
        </w:rPr>
        <w:t>ii.  Le Gouvernement</w:t>
      </w:r>
    </w:p>
    <w:p w:rsidR="001F4B22" w:rsidRPr="00A07637" w:rsidRDefault="001F4B22" w:rsidP="00973C1E">
      <w:pPr>
        <w:pStyle w:val="ECHRPara"/>
        <w:rPr>
          <w:lang w:val="fr-FR"/>
        </w:rPr>
      </w:pPr>
      <w:r w:rsidRPr="00FB4FA7">
        <w:rPr>
          <w:lang w:val="fr-FR"/>
        </w:rPr>
        <w:fldChar w:fldCharType="begin"/>
      </w:r>
      <w:r w:rsidRPr="00FB4FA7">
        <w:rPr>
          <w:lang w:val="fr-FR"/>
        </w:rPr>
        <w:instrText xml:space="preserve"> SEQ level0 \*arabic </w:instrText>
      </w:r>
      <w:r w:rsidRPr="00FB4FA7">
        <w:rPr>
          <w:lang w:val="fr-FR"/>
        </w:rPr>
        <w:fldChar w:fldCharType="separate"/>
      </w:r>
      <w:r>
        <w:rPr>
          <w:noProof/>
          <w:lang w:val="fr-FR"/>
        </w:rPr>
        <w:t>57</w:t>
      </w:r>
      <w:r w:rsidRPr="00FB4FA7">
        <w:rPr>
          <w:lang w:val="fr-FR"/>
        </w:rPr>
        <w:fldChar w:fldCharType="end"/>
      </w:r>
      <w:r w:rsidRPr="00FB4FA7">
        <w:rPr>
          <w:lang w:val="fr-FR"/>
        </w:rPr>
        <w:t>.  Le Gouvernement estime que, dans la mesure où, pour les</w:t>
      </w:r>
      <w:r>
        <w:rPr>
          <w:lang w:val="fr-FR"/>
        </w:rPr>
        <w:t xml:space="preserve"> requérants, l’arrêt de la Cour de cassation du </w:t>
      </w:r>
      <w:r w:rsidRPr="00790333">
        <w:rPr>
          <w:lang w:val="fr-FR"/>
        </w:rPr>
        <w:t>14 novembre 2008</w:t>
      </w:r>
      <w:r>
        <w:rPr>
          <w:lang w:val="fr-FR"/>
        </w:rPr>
        <w:t xml:space="preserve"> se fonde sur des erreurs de fait et de droit, leur requête relève de la quatrième </w:t>
      </w:r>
      <w:r w:rsidRPr="00FB4FA7">
        <w:rPr>
          <w:lang w:val="fr-FR"/>
        </w:rPr>
        <w:t>instance. En tout état de cause, il est convaincu que de telles erreurs n</w:t>
      </w:r>
      <w:r>
        <w:rPr>
          <w:lang w:val="fr-FR"/>
        </w:rPr>
        <w:t>’</w:t>
      </w:r>
      <w:r w:rsidRPr="00FB4FA7">
        <w:rPr>
          <w:lang w:val="fr-FR"/>
        </w:rPr>
        <w:t>ont pas été commises en l</w:t>
      </w:r>
      <w:r>
        <w:rPr>
          <w:lang w:val="fr-FR"/>
        </w:rPr>
        <w:t>’</w:t>
      </w:r>
      <w:r w:rsidRPr="00FB4FA7">
        <w:rPr>
          <w:lang w:val="fr-FR"/>
        </w:rPr>
        <w:t xml:space="preserve">espèce. En effet, </w:t>
      </w:r>
      <w:r w:rsidRPr="0033215C">
        <w:rPr>
          <w:lang w:val="fr-FR"/>
        </w:rPr>
        <w:t>en indiquant que les intéressés pouvaient revendiquer un droit à dédommagement pour la transposition tardive de la directive</w:t>
      </w:r>
      <w:r w:rsidRPr="00FB4FA7">
        <w:rPr>
          <w:lang w:val="fr-FR"/>
        </w:rPr>
        <w:t>, la Cour de cassation aurait appliqué de manière correcte le droit interne et européen. Cependant, d</w:t>
      </w:r>
      <w:r>
        <w:rPr>
          <w:lang w:val="fr-FR"/>
        </w:rPr>
        <w:t>’</w:t>
      </w:r>
      <w:r w:rsidRPr="00FB4FA7">
        <w:rPr>
          <w:lang w:val="fr-FR"/>
        </w:rPr>
        <w:t>après le Gouvernement,</w:t>
      </w:r>
      <w:r>
        <w:rPr>
          <w:lang w:val="fr-FR"/>
        </w:rPr>
        <w:t xml:space="preserve"> la haute juridiction a indiqué qu’en l’espèce les requérants n’auraient pas demandé une compensation pour manque de chances réelles, mais qu’ils se </w:t>
      </w:r>
      <w:r w:rsidRPr="00A07637">
        <w:rPr>
          <w:lang w:val="fr-FR"/>
        </w:rPr>
        <w:t>seraient bornés à contester la non-rétroactivité du décret législatif n</w:t>
      </w:r>
      <w:r w:rsidRPr="000B2C31">
        <w:rPr>
          <w:vertAlign w:val="superscript"/>
          <w:lang w:val="fr-FR"/>
        </w:rPr>
        <w:t>o</w:t>
      </w:r>
      <w:r w:rsidRPr="00A07637">
        <w:rPr>
          <w:lang w:val="fr-FR"/>
        </w:rPr>
        <w:t xml:space="preserve"> 257 de 1991. </w:t>
      </w:r>
      <w:r w:rsidRPr="0033215C">
        <w:rPr>
          <w:lang w:val="fr-FR"/>
        </w:rPr>
        <w:t>Toujours selon le Gouvernement,</w:t>
      </w:r>
      <w:r w:rsidRPr="00A07637">
        <w:rPr>
          <w:lang w:val="fr-FR"/>
        </w:rPr>
        <w:t xml:space="preserve"> </w:t>
      </w:r>
      <w:r w:rsidRPr="0033215C">
        <w:rPr>
          <w:lang w:val="fr-FR"/>
        </w:rPr>
        <w:t>il n</w:t>
      </w:r>
      <w:r>
        <w:rPr>
          <w:lang w:val="fr-FR"/>
        </w:rPr>
        <w:t>’</w:t>
      </w:r>
      <w:r w:rsidRPr="0033215C">
        <w:rPr>
          <w:lang w:val="fr-FR"/>
        </w:rPr>
        <w:t>y a en l</w:t>
      </w:r>
      <w:r>
        <w:rPr>
          <w:lang w:val="fr-FR"/>
        </w:rPr>
        <w:t>’</w:t>
      </w:r>
      <w:r w:rsidRPr="0033215C">
        <w:rPr>
          <w:lang w:val="fr-FR"/>
        </w:rPr>
        <w:t>espèce aucune méconnaissance</w:t>
      </w:r>
      <w:r w:rsidRPr="00A07637">
        <w:rPr>
          <w:lang w:val="fr-FR"/>
        </w:rPr>
        <w:t xml:space="preserve"> </w:t>
      </w:r>
      <w:r w:rsidRPr="0033215C">
        <w:rPr>
          <w:lang w:val="fr-FR"/>
        </w:rPr>
        <w:t>d</w:t>
      </w:r>
      <w:r>
        <w:rPr>
          <w:lang w:val="fr-FR"/>
        </w:rPr>
        <w:t>’</w:t>
      </w:r>
      <w:r w:rsidRPr="0033215C">
        <w:rPr>
          <w:lang w:val="fr-FR"/>
        </w:rPr>
        <w:t>une décision définitive,</w:t>
      </w:r>
      <w:r w:rsidRPr="00A07637">
        <w:rPr>
          <w:lang w:val="fr-FR"/>
        </w:rPr>
        <w:t xml:space="preserve"> </w:t>
      </w:r>
      <w:r w:rsidRPr="0033215C">
        <w:rPr>
          <w:lang w:val="fr-FR"/>
        </w:rPr>
        <w:t>dès lors que</w:t>
      </w:r>
      <w:r w:rsidRPr="00A07637">
        <w:rPr>
          <w:lang w:val="fr-FR"/>
        </w:rPr>
        <w:t xml:space="preserve"> le jugement de première instance a</w:t>
      </w:r>
      <w:r w:rsidRPr="0033215C">
        <w:rPr>
          <w:lang w:val="fr-FR"/>
        </w:rPr>
        <w:t>ur</w:t>
      </w:r>
      <w:r w:rsidRPr="00A07637">
        <w:rPr>
          <w:lang w:val="fr-FR"/>
        </w:rPr>
        <w:t xml:space="preserve">ait rejeté toutes les demandes des requérants (paragraphe </w:t>
      </w:r>
      <w:fldSimple w:instr=" REF sentenzaprimaistanzadispositivo \h  \* MERGEFORMAT ">
        <w:r>
          <w:rPr>
            <w:noProof/>
            <w:lang w:val="fr-FR"/>
          </w:rPr>
          <w:t>10</w:t>
        </w:r>
      </w:fldSimple>
      <w:r w:rsidRPr="00A07637">
        <w:rPr>
          <w:lang w:val="fr-FR"/>
        </w:rPr>
        <w:t xml:space="preserve"> ci-dessus).</w:t>
      </w:r>
    </w:p>
    <w:p w:rsidR="001F4B22" w:rsidRDefault="001F4B22" w:rsidP="00973C1E">
      <w:pPr>
        <w:pStyle w:val="ECHRPara"/>
        <w:rPr>
          <w:lang w:val="fr-FR"/>
        </w:rPr>
      </w:pPr>
      <w:r w:rsidRPr="00A07637">
        <w:rPr>
          <w:lang w:val="fr-FR"/>
        </w:rPr>
        <w:fldChar w:fldCharType="begin"/>
      </w:r>
      <w:r w:rsidRPr="00A07637">
        <w:rPr>
          <w:lang w:val="fr-FR"/>
        </w:rPr>
        <w:instrText xml:space="preserve"> SEQ level0 \*arabic </w:instrText>
      </w:r>
      <w:r w:rsidRPr="00A07637">
        <w:rPr>
          <w:lang w:val="fr-FR"/>
        </w:rPr>
        <w:fldChar w:fldCharType="separate"/>
      </w:r>
      <w:r>
        <w:rPr>
          <w:noProof/>
          <w:lang w:val="fr-FR"/>
        </w:rPr>
        <w:t>58</w:t>
      </w:r>
      <w:r w:rsidRPr="00A07637">
        <w:rPr>
          <w:lang w:val="fr-FR"/>
        </w:rPr>
        <w:fldChar w:fldCharType="end"/>
      </w:r>
      <w:r w:rsidRPr="00A07637">
        <w:rPr>
          <w:lang w:val="fr-FR"/>
        </w:rPr>
        <w:t xml:space="preserve">.  Quant à la décision de la Cour de cassation de ne pas poser à la </w:t>
      </w:r>
      <w:r>
        <w:rPr>
          <w:lang w:val="fr-FR"/>
        </w:rPr>
        <w:t>CJCE</w:t>
      </w:r>
      <w:r w:rsidRPr="00A07637">
        <w:rPr>
          <w:lang w:val="fr-FR"/>
        </w:rPr>
        <w:t xml:space="preserve"> la question préjudicielle sollicitée par les requérants, le Gouvernement estime qu</w:t>
      </w:r>
      <w:r>
        <w:rPr>
          <w:lang w:val="fr-FR"/>
        </w:rPr>
        <w:t>’</w:t>
      </w:r>
      <w:r w:rsidRPr="00A07637">
        <w:rPr>
          <w:lang w:val="fr-FR"/>
        </w:rPr>
        <w:t>il s</w:t>
      </w:r>
      <w:r>
        <w:rPr>
          <w:lang w:val="fr-FR"/>
        </w:rPr>
        <w:t>’</w:t>
      </w:r>
      <w:r w:rsidRPr="00A07637">
        <w:rPr>
          <w:lang w:val="fr-FR"/>
        </w:rPr>
        <w:t>agit d</w:t>
      </w:r>
      <w:r>
        <w:rPr>
          <w:lang w:val="fr-FR"/>
        </w:rPr>
        <w:t>’</w:t>
      </w:r>
      <w:r w:rsidRPr="00A07637">
        <w:rPr>
          <w:lang w:val="fr-FR"/>
        </w:rPr>
        <w:t>une doléance mineure et secondaire. En</w:t>
      </w:r>
      <w:r>
        <w:rPr>
          <w:lang w:val="fr-FR"/>
        </w:rPr>
        <w:t xml:space="preserve"> outre, la Cour de cassation n’aurait eu aucune obligation de motiver son refus sur ce point.</w:t>
      </w:r>
    </w:p>
    <w:p w:rsidR="001F4B22" w:rsidRDefault="001F4B22" w:rsidP="00973C1E">
      <w:pPr>
        <w:pStyle w:val="ECHRHeading4"/>
        <w:rPr>
          <w:lang w:val="fr-FR"/>
        </w:rPr>
      </w:pPr>
      <w:r>
        <w:rPr>
          <w:lang w:val="fr-FR"/>
        </w:rPr>
        <w:t>b)  Appréciation de la Cour</w:t>
      </w:r>
    </w:p>
    <w:p w:rsidR="001F4B22" w:rsidRDefault="001F4B22" w:rsidP="009208FF">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59</w:t>
      </w:r>
      <w:r>
        <w:rPr>
          <w:lang w:val="fr-FR"/>
        </w:rPr>
        <w:fldChar w:fldCharType="end"/>
      </w:r>
      <w:r>
        <w:rPr>
          <w:lang w:val="fr-FR"/>
        </w:rPr>
        <w:t xml:space="preserve">.  La Cour rappelle d’emblée </w:t>
      </w:r>
      <w:r w:rsidRPr="00B44D67">
        <w:rPr>
          <w:lang w:val="fr-FR"/>
        </w:rPr>
        <w:t>qu</w:t>
      </w:r>
      <w:r>
        <w:rPr>
          <w:lang w:val="fr-FR"/>
        </w:rPr>
        <w:t xml:space="preserve">e, </w:t>
      </w:r>
      <w:r w:rsidRPr="00B44D67">
        <w:rPr>
          <w:lang w:val="fr-FR"/>
        </w:rPr>
        <w:t>aux termes de l</w:t>
      </w:r>
      <w:r>
        <w:rPr>
          <w:lang w:val="fr-FR"/>
        </w:rPr>
        <w:t>’</w:t>
      </w:r>
      <w:r w:rsidRPr="00B44D67">
        <w:rPr>
          <w:lang w:val="fr-FR"/>
        </w:rPr>
        <w:t>article 19 de la Convention, elle a pour tâche d</w:t>
      </w:r>
      <w:r>
        <w:rPr>
          <w:lang w:val="fr-FR"/>
        </w:rPr>
        <w:t>’</w:t>
      </w:r>
      <w:r w:rsidRPr="00B44D67">
        <w:rPr>
          <w:lang w:val="fr-FR"/>
        </w:rPr>
        <w:t>assurer le respect des engagements résultant de la Convention pour les Parties contractantes. En particulier, il ne lui appartient pas de connaître des erreurs de fait ou de droit prétendument commises par une juridiction interne, sauf si et dans la mesure où elles pourraient avoir porté atteinte aux droits et libertés sauvegardés pa</w:t>
      </w:r>
      <w:r>
        <w:rPr>
          <w:lang w:val="fr-FR"/>
        </w:rPr>
        <w:t>r la Convention (voir, parmi beaucoup d’autres,</w:t>
      </w:r>
      <w:r w:rsidRPr="00B44D67">
        <w:rPr>
          <w:lang w:val="fr-FR"/>
        </w:rPr>
        <w:t xml:space="preserve"> </w:t>
      </w:r>
      <w:r w:rsidRPr="0030182C">
        <w:rPr>
          <w:i/>
          <w:lang w:val="fr-FR"/>
        </w:rPr>
        <w:t xml:space="preserve">García Ruiz c. Espagne </w:t>
      </w:r>
      <w:r w:rsidRPr="00B44D67">
        <w:rPr>
          <w:lang w:val="fr-FR"/>
        </w:rPr>
        <w:t>[GC], n</w:t>
      </w:r>
      <w:r w:rsidRPr="000B2C31">
        <w:rPr>
          <w:vertAlign w:val="superscript"/>
          <w:lang w:val="fr-FR"/>
        </w:rPr>
        <w:t>o</w:t>
      </w:r>
      <w:r>
        <w:rPr>
          <w:lang w:val="fr-FR"/>
        </w:rPr>
        <w:t> 30544/96</w:t>
      </w:r>
      <w:r w:rsidRPr="00B44D67">
        <w:rPr>
          <w:lang w:val="fr-FR"/>
        </w:rPr>
        <w:t>, § 28, CEDH 199</w:t>
      </w:r>
      <w:r>
        <w:rPr>
          <w:lang w:val="fr-FR"/>
        </w:rPr>
        <w:t>9-</w:t>
      </w:r>
      <w:r w:rsidRPr="00B44D67">
        <w:rPr>
          <w:lang w:val="fr-FR"/>
        </w:rPr>
        <w:t>I</w:t>
      </w:r>
      <w:r>
        <w:rPr>
          <w:lang w:val="fr-FR"/>
        </w:rPr>
        <w:t xml:space="preserve">, </w:t>
      </w:r>
      <w:r w:rsidRPr="00652F22">
        <w:rPr>
          <w:i/>
          <w:lang w:val="fr-FR"/>
        </w:rPr>
        <w:t>Khan c.</w:t>
      </w:r>
      <w:r>
        <w:rPr>
          <w:i/>
          <w:lang w:val="fr-FR"/>
        </w:rPr>
        <w:t> </w:t>
      </w:r>
      <w:r w:rsidRPr="00652F22">
        <w:rPr>
          <w:i/>
          <w:lang w:val="fr-FR"/>
        </w:rPr>
        <w:t>Royaume-Uni</w:t>
      </w:r>
      <w:r w:rsidRPr="00652F22">
        <w:rPr>
          <w:lang w:val="fr-FR"/>
        </w:rPr>
        <w:t>, n</w:t>
      </w:r>
      <w:r w:rsidRPr="00D77D93">
        <w:rPr>
          <w:vertAlign w:val="superscript"/>
          <w:lang w:val="fr-FR"/>
        </w:rPr>
        <w:t>o</w:t>
      </w:r>
      <w:r w:rsidRPr="00652F22">
        <w:rPr>
          <w:lang w:val="fr-FR"/>
        </w:rPr>
        <w:t> 35394/97, §</w:t>
      </w:r>
      <w:r>
        <w:rPr>
          <w:lang w:val="fr-FR"/>
        </w:rPr>
        <w:t> </w:t>
      </w:r>
      <w:r w:rsidRPr="00652F22">
        <w:rPr>
          <w:lang w:val="fr-FR"/>
        </w:rPr>
        <w:t>34, CEDH 2000-V</w:t>
      </w:r>
      <w:r>
        <w:rPr>
          <w:lang w:val="fr-FR"/>
        </w:rPr>
        <w:t>,</w:t>
      </w:r>
      <w:r w:rsidRPr="00B44D67">
        <w:rPr>
          <w:lang w:val="fr-FR"/>
        </w:rPr>
        <w:t xml:space="preserve"> et </w:t>
      </w:r>
      <w:r w:rsidRPr="00B44D67">
        <w:rPr>
          <w:i/>
          <w:lang w:val="fr-FR"/>
        </w:rPr>
        <w:t>Rizos et Daskas c. Grèce</w:t>
      </w:r>
      <w:r w:rsidRPr="00B44D67">
        <w:rPr>
          <w:lang w:val="fr-FR"/>
        </w:rPr>
        <w:t>, n</w:t>
      </w:r>
      <w:r w:rsidRPr="000B2C31">
        <w:rPr>
          <w:vertAlign w:val="superscript"/>
          <w:lang w:val="fr-FR"/>
        </w:rPr>
        <w:t>o</w:t>
      </w:r>
      <w:r w:rsidRPr="00B44D67">
        <w:rPr>
          <w:lang w:val="fr-FR"/>
        </w:rPr>
        <w:t xml:space="preserve"> </w:t>
      </w:r>
      <w:r>
        <w:rPr>
          <w:lang w:val="fr-FR"/>
        </w:rPr>
        <w:t>65545/01</w:t>
      </w:r>
      <w:r w:rsidRPr="00B44D67">
        <w:rPr>
          <w:lang w:val="fr-FR"/>
        </w:rPr>
        <w:t>, § 26, 27</w:t>
      </w:r>
      <w:r>
        <w:rPr>
          <w:lang w:val="fr-FR"/>
        </w:rPr>
        <w:t> </w:t>
      </w:r>
      <w:r w:rsidRPr="00B44D67">
        <w:rPr>
          <w:lang w:val="fr-FR"/>
        </w:rPr>
        <w:t>mai 2004)</w:t>
      </w:r>
      <w:r w:rsidRPr="00652F22">
        <w:rPr>
          <w:lang w:val="fr-FR"/>
        </w:rPr>
        <w:t>,</w:t>
      </w:r>
      <w:r w:rsidRPr="000D5AF9">
        <w:rPr>
          <w:lang w:val="fr-FR"/>
        </w:rPr>
        <w:t xml:space="preserve"> et il revient en principe aux juridictions nationales d</w:t>
      </w:r>
      <w:r>
        <w:rPr>
          <w:lang w:val="fr-FR"/>
        </w:rPr>
        <w:t>’</w:t>
      </w:r>
      <w:r w:rsidRPr="000D5AF9">
        <w:rPr>
          <w:lang w:val="fr-FR"/>
        </w:rPr>
        <w:t>apprécier les faits et d</w:t>
      </w:r>
      <w:r>
        <w:rPr>
          <w:lang w:val="fr-FR"/>
        </w:rPr>
        <w:t>’</w:t>
      </w:r>
      <w:r w:rsidRPr="000D5AF9">
        <w:rPr>
          <w:lang w:val="fr-FR"/>
        </w:rPr>
        <w:t>interpréter et appliquer le droit interne (</w:t>
      </w:r>
      <w:r w:rsidRPr="00CB7C13">
        <w:rPr>
          <w:i/>
          <w:lang w:val="fr-FR"/>
        </w:rPr>
        <w:t>Pacifico c.</w:t>
      </w:r>
      <w:r>
        <w:rPr>
          <w:i/>
          <w:lang w:val="fr-FR"/>
        </w:rPr>
        <w:t> </w:t>
      </w:r>
      <w:r w:rsidRPr="00CB7C13">
        <w:rPr>
          <w:i/>
          <w:lang w:val="fr-FR"/>
        </w:rPr>
        <w:t>Italie</w:t>
      </w:r>
      <w:r>
        <w:rPr>
          <w:lang w:val="fr-FR"/>
        </w:rPr>
        <w:t xml:space="preserve"> (</w:t>
      </w:r>
      <w:r w:rsidRPr="000D5AF9">
        <w:rPr>
          <w:lang w:val="fr-FR"/>
        </w:rPr>
        <w:t>déc</w:t>
      </w:r>
      <w:r>
        <w:rPr>
          <w:lang w:val="fr-FR"/>
        </w:rPr>
        <w:t>.)</w:t>
      </w:r>
      <w:r w:rsidRPr="000D5AF9">
        <w:rPr>
          <w:lang w:val="fr-FR"/>
        </w:rPr>
        <w:t>,</w:t>
      </w:r>
      <w:r>
        <w:rPr>
          <w:lang w:val="fr-FR"/>
        </w:rPr>
        <w:t xml:space="preserve"> </w:t>
      </w:r>
      <w:r w:rsidRPr="00CB7C13">
        <w:rPr>
          <w:lang w:val="fr-FR"/>
        </w:rPr>
        <w:t>n</w:t>
      </w:r>
      <w:r w:rsidRPr="00D77D93">
        <w:rPr>
          <w:vertAlign w:val="superscript"/>
          <w:lang w:val="fr-FR"/>
        </w:rPr>
        <w:t>o</w:t>
      </w:r>
      <w:r>
        <w:rPr>
          <w:lang w:val="fr-FR"/>
        </w:rPr>
        <w:t> 17995/08</w:t>
      </w:r>
      <w:r w:rsidRPr="00CB7C13">
        <w:rPr>
          <w:lang w:val="fr-FR"/>
        </w:rPr>
        <w:t>, §</w:t>
      </w:r>
      <w:r>
        <w:rPr>
          <w:lang w:val="fr-FR"/>
        </w:rPr>
        <w:t> </w:t>
      </w:r>
      <w:r w:rsidRPr="00CB7C13">
        <w:rPr>
          <w:lang w:val="fr-FR"/>
        </w:rPr>
        <w:t>6</w:t>
      </w:r>
      <w:r>
        <w:rPr>
          <w:lang w:val="fr-FR"/>
        </w:rPr>
        <w:t>2</w:t>
      </w:r>
      <w:r w:rsidRPr="00CB7C13">
        <w:rPr>
          <w:lang w:val="fr-FR"/>
        </w:rPr>
        <w:t>, 20</w:t>
      </w:r>
      <w:r>
        <w:rPr>
          <w:lang w:val="fr-FR"/>
        </w:rPr>
        <w:t> </w:t>
      </w:r>
      <w:r w:rsidRPr="00CB7C13">
        <w:rPr>
          <w:lang w:val="fr-FR"/>
        </w:rPr>
        <w:t>novembre 2012</w:t>
      </w:r>
      <w:r>
        <w:rPr>
          <w:lang w:val="fr-FR"/>
        </w:rPr>
        <w:t xml:space="preserve">, et </w:t>
      </w:r>
      <w:r>
        <w:rPr>
          <w:i/>
          <w:lang w:val="fr-FR"/>
        </w:rPr>
        <w:t xml:space="preserve">Plesic c. Italie </w:t>
      </w:r>
      <w:r>
        <w:rPr>
          <w:lang w:val="fr-FR"/>
        </w:rPr>
        <w:t>(déc.), n</w:t>
      </w:r>
      <w:r w:rsidRPr="00D77D93">
        <w:rPr>
          <w:vertAlign w:val="superscript"/>
          <w:lang w:val="fr-FR"/>
        </w:rPr>
        <w:t>o</w:t>
      </w:r>
      <w:r>
        <w:rPr>
          <w:lang w:val="fr-FR"/>
        </w:rPr>
        <w:t xml:space="preserve"> 16065/09, § 33, </w:t>
      </w:r>
      <w:r w:rsidRPr="00CB7C13">
        <w:rPr>
          <w:lang w:val="fr-FR"/>
        </w:rPr>
        <w:t>2 juillet 2013</w:t>
      </w:r>
      <w:r w:rsidRPr="000D5AF9">
        <w:rPr>
          <w:lang w:val="fr-FR"/>
        </w:rPr>
        <w:t>)</w:t>
      </w:r>
      <w:r>
        <w:rPr>
          <w:lang w:val="fr-FR"/>
        </w:rPr>
        <w:t>.</w:t>
      </w:r>
    </w:p>
    <w:p w:rsidR="001F4B22" w:rsidRDefault="001F4B22" w:rsidP="009208FF">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60</w:t>
      </w:r>
      <w:r>
        <w:rPr>
          <w:lang w:val="fr-FR"/>
        </w:rPr>
        <w:fldChar w:fldCharType="end"/>
      </w:r>
      <w:r>
        <w:rPr>
          <w:lang w:val="fr-FR"/>
        </w:rPr>
        <w:t>.  En l’espèce, la Cour a examiné les griefs des requérants mettant en cause le caractère suffisant et pertinent en droit interne et en droit de l’UE des arguments avancés par la Cour de cassation pour rejeter leur pourvoi (paragraphes </w:t>
      </w:r>
      <w:fldSimple w:instr=" REF grief4istanza1 \h  \* MERGEFORMAT ">
        <w:r>
          <w:rPr>
            <w:noProof/>
            <w:lang w:val="fr-FR"/>
          </w:rPr>
          <w:t>51</w:t>
        </w:r>
      </w:fldSimple>
      <w:r>
        <w:rPr>
          <w:lang w:val="fr-FR"/>
        </w:rPr>
        <w:t>-</w:t>
      </w:r>
      <w:fldSimple w:instr=" REF grief4istanzafine \h  \* MERGEFORMAT ">
        <w:r>
          <w:rPr>
            <w:noProof/>
            <w:lang w:val="fr-FR"/>
          </w:rPr>
          <w:t>55</w:t>
        </w:r>
      </w:fldSimple>
      <w:r>
        <w:rPr>
          <w:lang w:val="fr-FR"/>
        </w:rPr>
        <w:t xml:space="preserve"> ci-dessus), et elle n’a relevé aucune apparence de violation des principes du procès équitable et de la sécurité juridique, tels que garantis par l’article 6 § 1 de la Convention. À cet égard, elle note en particulier que la haute juridiction italienne ne s’est pas explicitement écartée de sa jurisprudence bien établie, mais qu’elle a motivé le rejet litigieux en s’appuyant sur la nature de la demande introduite par les requérants (voir également les considérations contenues aux paragraphes </w:t>
      </w:r>
      <w:fldSimple w:instr=" REF ragionamentoart14 \h  \* MERGEFORMAT ">
        <w:r w:rsidRPr="004F0BA5">
          <w:rPr>
            <w:noProof/>
            <w:lang w:val="pt-BR"/>
          </w:rPr>
          <w:t>79</w:t>
        </w:r>
      </w:fldSimple>
      <w:r>
        <w:rPr>
          <w:lang w:val="fr-FR"/>
        </w:rPr>
        <w:t xml:space="preserve"> et </w:t>
      </w:r>
      <w:fldSimple w:instr=" REF ragionamentoart14bis \h  \* MERGEFORMAT ">
        <w:r>
          <w:rPr>
            <w:noProof/>
            <w:lang w:val="fr-FR"/>
          </w:rPr>
          <w:t>80</w:t>
        </w:r>
      </w:fldSimple>
      <w:r>
        <w:rPr>
          <w:lang w:val="fr-FR"/>
        </w:rPr>
        <w:t xml:space="preserve"> ci-après).</w:t>
      </w:r>
    </w:p>
    <w:p w:rsidR="001F4B22" w:rsidRPr="00C61E1D" w:rsidRDefault="001F4B22" w:rsidP="009208FF">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61</w:t>
      </w:r>
      <w:r>
        <w:rPr>
          <w:lang w:val="fr-FR"/>
        </w:rPr>
        <w:fldChar w:fldCharType="end"/>
      </w:r>
      <w:r>
        <w:rPr>
          <w:lang w:val="fr-FR"/>
        </w:rPr>
        <w:t>.  </w:t>
      </w:r>
      <w:r w:rsidRPr="00C61E1D">
        <w:rPr>
          <w:snapToGrid w:val="0"/>
          <w:lang w:val="fr-FR"/>
        </w:rPr>
        <w:t>Il s</w:t>
      </w:r>
      <w:r>
        <w:rPr>
          <w:snapToGrid w:val="0"/>
          <w:lang w:val="fr-FR"/>
        </w:rPr>
        <w:t>’</w:t>
      </w:r>
      <w:r w:rsidRPr="00C61E1D">
        <w:rPr>
          <w:snapToGrid w:val="0"/>
          <w:lang w:val="fr-FR"/>
        </w:rPr>
        <w:t>ensuit que ce</w:t>
      </w:r>
      <w:r>
        <w:rPr>
          <w:snapToGrid w:val="0"/>
          <w:lang w:val="fr-FR"/>
        </w:rPr>
        <w:t>s</w:t>
      </w:r>
      <w:r w:rsidRPr="00C61E1D">
        <w:rPr>
          <w:snapToGrid w:val="0"/>
          <w:lang w:val="fr-FR"/>
        </w:rPr>
        <w:t xml:space="preserve"> grief</w:t>
      </w:r>
      <w:r>
        <w:rPr>
          <w:snapToGrid w:val="0"/>
          <w:lang w:val="fr-FR"/>
        </w:rPr>
        <w:t>s</w:t>
      </w:r>
      <w:r w:rsidRPr="00C61E1D">
        <w:rPr>
          <w:snapToGrid w:val="0"/>
          <w:lang w:val="fr-FR"/>
        </w:rPr>
        <w:t xml:space="preserve"> s</w:t>
      </w:r>
      <w:r>
        <w:rPr>
          <w:snapToGrid w:val="0"/>
          <w:lang w:val="fr-FR"/>
        </w:rPr>
        <w:t>on</w:t>
      </w:r>
      <w:r w:rsidRPr="00C61E1D">
        <w:rPr>
          <w:snapToGrid w:val="0"/>
          <w:lang w:val="fr-FR"/>
        </w:rPr>
        <w:t>t manifestement mal fondé</w:t>
      </w:r>
      <w:r>
        <w:rPr>
          <w:snapToGrid w:val="0"/>
          <w:lang w:val="fr-FR"/>
        </w:rPr>
        <w:t>s</w:t>
      </w:r>
      <w:r w:rsidRPr="00C61E1D">
        <w:rPr>
          <w:snapToGrid w:val="0"/>
          <w:lang w:val="fr-FR"/>
        </w:rPr>
        <w:t xml:space="preserve"> et </w:t>
      </w:r>
      <w:r>
        <w:rPr>
          <w:snapToGrid w:val="0"/>
          <w:lang w:val="fr-FR"/>
        </w:rPr>
        <w:t xml:space="preserve">qu’ils </w:t>
      </w:r>
      <w:r w:rsidRPr="00C61E1D">
        <w:rPr>
          <w:snapToGrid w:val="0"/>
          <w:lang w:val="fr-FR"/>
        </w:rPr>
        <w:t>doi</w:t>
      </w:r>
      <w:r>
        <w:rPr>
          <w:snapToGrid w:val="0"/>
          <w:lang w:val="fr-FR"/>
        </w:rPr>
        <w:t>vent</w:t>
      </w:r>
      <w:r w:rsidRPr="00C61E1D">
        <w:rPr>
          <w:snapToGrid w:val="0"/>
          <w:lang w:val="fr-FR"/>
        </w:rPr>
        <w:t xml:space="preserve"> être rejeté</w:t>
      </w:r>
      <w:r>
        <w:rPr>
          <w:snapToGrid w:val="0"/>
          <w:lang w:val="fr-FR"/>
        </w:rPr>
        <w:t>s,</w:t>
      </w:r>
      <w:r w:rsidRPr="00C61E1D">
        <w:rPr>
          <w:snapToGrid w:val="0"/>
          <w:lang w:val="fr-FR"/>
        </w:rPr>
        <w:t xml:space="preserve"> en application de l</w:t>
      </w:r>
      <w:r>
        <w:rPr>
          <w:snapToGrid w:val="0"/>
          <w:lang w:val="fr-FR"/>
        </w:rPr>
        <w:t>’</w:t>
      </w:r>
      <w:r w:rsidRPr="00C61E1D">
        <w:rPr>
          <w:snapToGrid w:val="0"/>
          <w:lang w:val="fr-FR"/>
        </w:rPr>
        <w:t>article 35 §§ 3 </w:t>
      </w:r>
      <w:r w:rsidRPr="00C61E1D">
        <w:rPr>
          <w:lang w:val="fr-FR"/>
        </w:rPr>
        <w:t xml:space="preserve">a) </w:t>
      </w:r>
      <w:r w:rsidRPr="00C61E1D">
        <w:rPr>
          <w:snapToGrid w:val="0"/>
          <w:lang w:val="fr-FR"/>
        </w:rPr>
        <w:t>et 4 de la Convention.</w:t>
      </w:r>
    </w:p>
    <w:p w:rsidR="001F4B22" w:rsidRPr="007D5516" w:rsidRDefault="001F4B22" w:rsidP="00C61E1D">
      <w:pPr>
        <w:pStyle w:val="ECHRPara"/>
        <w:rPr>
          <w:lang w:val="fr-FR"/>
        </w:rPr>
      </w:pPr>
      <w:r w:rsidRPr="007D5516">
        <w:rPr>
          <w:lang w:val="fr-FR"/>
        </w:rPr>
        <w:fldChar w:fldCharType="begin"/>
      </w:r>
      <w:r w:rsidRPr="007D5516">
        <w:rPr>
          <w:lang w:val="fr-FR"/>
        </w:rPr>
        <w:instrText xml:space="preserve"> SEQ level0 \*arabic </w:instrText>
      </w:r>
      <w:r w:rsidRPr="007D5516">
        <w:rPr>
          <w:lang w:val="fr-FR"/>
        </w:rPr>
        <w:fldChar w:fldCharType="separate"/>
      </w:r>
      <w:r>
        <w:rPr>
          <w:noProof/>
          <w:lang w:val="fr-FR"/>
        </w:rPr>
        <w:t>62</w:t>
      </w:r>
      <w:r w:rsidRPr="007D5516">
        <w:rPr>
          <w:lang w:val="fr-FR"/>
        </w:rPr>
        <w:fldChar w:fldCharType="end"/>
      </w:r>
      <w:r w:rsidRPr="007D5516">
        <w:rPr>
          <w:lang w:val="fr-FR"/>
        </w:rPr>
        <w:t>.  La Cour estime en revanche que le grief tiré de l</w:t>
      </w:r>
      <w:r>
        <w:rPr>
          <w:lang w:val="fr-FR"/>
        </w:rPr>
        <w:t>’absence de réponse de</w:t>
      </w:r>
      <w:r w:rsidRPr="007D5516">
        <w:rPr>
          <w:lang w:val="fr-FR"/>
        </w:rPr>
        <w:t xml:space="preserve"> la Cour de cassation à leur demande de renvoi préjudiciel n</w:t>
      </w:r>
      <w:r>
        <w:rPr>
          <w:lang w:val="fr-FR"/>
        </w:rPr>
        <w:t>’</w:t>
      </w:r>
      <w:r w:rsidRPr="007D5516">
        <w:rPr>
          <w:lang w:val="fr-FR"/>
        </w:rPr>
        <w:t>est pas manifestement mal fondé au sens de l</w:t>
      </w:r>
      <w:r>
        <w:rPr>
          <w:lang w:val="fr-FR"/>
        </w:rPr>
        <w:t>’</w:t>
      </w:r>
      <w:r w:rsidRPr="007D5516">
        <w:rPr>
          <w:lang w:val="fr-FR"/>
        </w:rPr>
        <w:t>article 35 § 3 a) de la Convention. Relevant par ailleurs qu</w:t>
      </w:r>
      <w:r>
        <w:rPr>
          <w:lang w:val="fr-FR"/>
        </w:rPr>
        <w:t>’</w:t>
      </w:r>
      <w:r w:rsidRPr="007D5516">
        <w:rPr>
          <w:lang w:val="fr-FR"/>
        </w:rPr>
        <w:t>il ne se heurte à aucun autre motif d</w:t>
      </w:r>
      <w:r>
        <w:rPr>
          <w:lang w:val="fr-FR"/>
        </w:rPr>
        <w:t>’</w:t>
      </w:r>
      <w:r w:rsidRPr="007D5516">
        <w:rPr>
          <w:lang w:val="fr-FR"/>
        </w:rPr>
        <w:t>irrecevabilité, elle le déclare recevable.</w:t>
      </w:r>
    </w:p>
    <w:p w:rsidR="001F4B22" w:rsidRDefault="001F4B22" w:rsidP="0033215C">
      <w:pPr>
        <w:pStyle w:val="ECHRHeading2"/>
        <w:rPr>
          <w:lang w:val="fr-FR"/>
        </w:rPr>
      </w:pPr>
      <w:r w:rsidRPr="007D5516">
        <w:rPr>
          <w:lang w:val="fr-FR"/>
        </w:rPr>
        <w:t>B.  Sur le fond</w:t>
      </w:r>
    </w:p>
    <w:p w:rsidR="001F4B22" w:rsidRDefault="001F4B22" w:rsidP="00790333">
      <w:pPr>
        <w:pStyle w:val="ECHRHeading3"/>
        <w:rPr>
          <w:lang w:val="fr-FR"/>
        </w:rPr>
      </w:pPr>
      <w:r>
        <w:rPr>
          <w:lang w:val="fr-FR"/>
        </w:rPr>
        <w:t>1.  Arguments des parties</w:t>
      </w:r>
    </w:p>
    <w:p w:rsidR="001F4B22" w:rsidRPr="00790333" w:rsidRDefault="001F4B22" w:rsidP="00790333">
      <w:pPr>
        <w:pStyle w:val="ECHRHeading4"/>
        <w:rPr>
          <w:lang w:val="fr-FR"/>
        </w:rPr>
      </w:pPr>
      <w:r>
        <w:rPr>
          <w:lang w:val="fr-FR"/>
        </w:rPr>
        <w:t>a)  Les requérants</w:t>
      </w:r>
    </w:p>
    <w:p w:rsidR="001F4B22" w:rsidRDefault="001F4B22" w:rsidP="00C63990">
      <w:pPr>
        <w:pStyle w:val="ECHRPara"/>
        <w:rPr>
          <w:szCs w:val="24"/>
          <w:lang w:val="fr-FR"/>
        </w:rPr>
      </w:pPr>
      <w:r>
        <w:rPr>
          <w:lang w:val="fr-FR"/>
        </w:rPr>
        <w:fldChar w:fldCharType="begin"/>
      </w:r>
      <w:r>
        <w:rPr>
          <w:lang w:val="fr-FR"/>
        </w:rPr>
        <w:instrText xml:space="preserve"> SEQ level0 \*arabic </w:instrText>
      </w:r>
      <w:r>
        <w:rPr>
          <w:lang w:val="fr-FR"/>
        </w:rPr>
        <w:fldChar w:fldCharType="separate"/>
      </w:r>
      <w:r>
        <w:rPr>
          <w:noProof/>
          <w:lang w:val="fr-FR"/>
        </w:rPr>
        <w:t>63</w:t>
      </w:r>
      <w:r>
        <w:rPr>
          <w:lang w:val="fr-FR"/>
        </w:rPr>
        <w:fldChar w:fldCharType="end"/>
      </w:r>
      <w:r>
        <w:rPr>
          <w:lang w:val="fr-FR"/>
        </w:rPr>
        <w:t>.  L</w:t>
      </w:r>
      <w:r w:rsidRPr="00790333">
        <w:rPr>
          <w:lang w:val="fr-FR"/>
        </w:rPr>
        <w:t xml:space="preserve">es requérants </w:t>
      </w:r>
      <w:r>
        <w:rPr>
          <w:lang w:val="fr-FR"/>
        </w:rPr>
        <w:t>reprochent à</w:t>
      </w:r>
      <w:r w:rsidRPr="00790333">
        <w:rPr>
          <w:lang w:val="fr-FR"/>
        </w:rPr>
        <w:t xml:space="preserve"> la Cour de cassation </w:t>
      </w:r>
      <w:r>
        <w:rPr>
          <w:lang w:val="fr-FR"/>
        </w:rPr>
        <w:t>d’avoir</w:t>
      </w:r>
      <w:r w:rsidRPr="00790333">
        <w:rPr>
          <w:lang w:val="fr-FR"/>
        </w:rPr>
        <w:t xml:space="preserve"> compl</w:t>
      </w:r>
      <w:r>
        <w:rPr>
          <w:lang w:val="fr-FR"/>
        </w:rPr>
        <w:t>è</w:t>
      </w:r>
      <w:r w:rsidRPr="00790333">
        <w:rPr>
          <w:lang w:val="fr-FR"/>
        </w:rPr>
        <w:t>tement ignoré leur demande de renvoi préjudicie</w:t>
      </w:r>
      <w:r>
        <w:rPr>
          <w:lang w:val="fr-FR"/>
        </w:rPr>
        <w:t xml:space="preserve">l. Notamment, la CJCE aurait affirmé que l’obligation de rémunérer de manière adéquate les périodes de formation des médecins spécialistes était inconditionnelle et suffisamment précise et que seule une application rétroactive et complète des directives était suffisante pour réparer le préjudice causé par une transposition tardive des directives en question. Par ailleurs, celle-ci engagerait la responsabilité de l’État. Le juge national aurait été tenu de suivre cette jurisprudence, qui s’imposerait </w:t>
      </w:r>
      <w:r>
        <w:rPr>
          <w:i/>
          <w:lang w:val="fr-FR"/>
        </w:rPr>
        <w:t>erga omnes</w:t>
      </w:r>
      <w:r>
        <w:rPr>
          <w:lang w:val="fr-FR"/>
        </w:rPr>
        <w:t xml:space="preserve">. Aux yeux des requérants, la Cour de cassation n’avait donc que deux options : confirmer l’interprétation de la CJCE et accueillir leur pourvoi ou poser une question préjudicielle à la CJCE. Elle aurait cependant choisi une troisième voie, </w:t>
      </w:r>
      <w:r w:rsidRPr="009A3433">
        <w:rPr>
          <w:lang w:val="fr-FR"/>
        </w:rPr>
        <w:t xml:space="preserve">selon eux contraire à la Convention : rejeter leur pourvoi sans poser de question préjudicielle et sans motiver </w:t>
      </w:r>
      <w:r>
        <w:rPr>
          <w:lang w:val="fr-FR"/>
        </w:rPr>
        <w:t>sa</w:t>
      </w:r>
      <w:r w:rsidRPr="0033215C">
        <w:rPr>
          <w:lang w:val="fr-FR"/>
        </w:rPr>
        <w:t xml:space="preserve"> décision </w:t>
      </w:r>
      <w:r w:rsidRPr="009A3433">
        <w:rPr>
          <w:lang w:val="fr-FR"/>
        </w:rPr>
        <w:t xml:space="preserve">sur ce point. Les intéressés disent se référer aux principes énoncés par la Cour dans les affaires </w:t>
      </w:r>
      <w:r w:rsidRPr="009A3433">
        <w:rPr>
          <w:i/>
          <w:lang w:val="fr-FR"/>
        </w:rPr>
        <w:t>Verga</w:t>
      </w:r>
      <w:r>
        <w:rPr>
          <w:i/>
          <w:lang w:val="fr-FR"/>
        </w:rPr>
        <w:t>uwen et </w:t>
      </w:r>
      <w:r w:rsidRPr="009A3433">
        <w:rPr>
          <w:i/>
          <w:lang w:val="fr-FR"/>
        </w:rPr>
        <w:t xml:space="preserve">autres c. Belgique </w:t>
      </w:r>
      <w:r w:rsidRPr="009A3433">
        <w:rPr>
          <w:lang w:val="fr-FR"/>
        </w:rPr>
        <w:t>((déc.), n</w:t>
      </w:r>
      <w:r w:rsidRPr="009A3433">
        <w:rPr>
          <w:vertAlign w:val="superscript"/>
          <w:lang w:val="fr-FR"/>
        </w:rPr>
        <w:t>o</w:t>
      </w:r>
      <w:r w:rsidRPr="009A3433">
        <w:rPr>
          <w:lang w:val="fr-FR"/>
        </w:rPr>
        <w:t> 4832/04, §§ 89-90, 10</w:t>
      </w:r>
      <w:r>
        <w:rPr>
          <w:lang w:val="fr-FR"/>
        </w:rPr>
        <w:t> </w:t>
      </w:r>
      <w:r w:rsidRPr="009556E4">
        <w:rPr>
          <w:lang w:val="fr-FR"/>
        </w:rPr>
        <w:t>avril 2012</w:t>
      </w:r>
      <w:r>
        <w:rPr>
          <w:lang w:val="fr-FR"/>
        </w:rPr>
        <w:t xml:space="preserve">) et </w:t>
      </w:r>
      <w:r>
        <w:rPr>
          <w:i/>
          <w:szCs w:val="24"/>
          <w:lang w:val="fr-FR"/>
        </w:rPr>
        <w:t>Dhahbi c. </w:t>
      </w:r>
      <w:r w:rsidRPr="009208FF">
        <w:rPr>
          <w:i/>
          <w:szCs w:val="24"/>
          <w:lang w:val="fr-FR"/>
        </w:rPr>
        <w:t>Italie</w:t>
      </w:r>
      <w:r w:rsidRPr="009208FF">
        <w:rPr>
          <w:szCs w:val="24"/>
          <w:lang w:val="fr-FR"/>
        </w:rPr>
        <w:t xml:space="preserve"> </w:t>
      </w:r>
      <w:r>
        <w:rPr>
          <w:szCs w:val="24"/>
          <w:lang w:val="fr-FR"/>
        </w:rPr>
        <w:t>(</w:t>
      </w:r>
      <w:r w:rsidRPr="009208FF">
        <w:rPr>
          <w:szCs w:val="24"/>
          <w:lang w:val="fr-FR"/>
        </w:rPr>
        <w:t>n</w:t>
      </w:r>
      <w:r w:rsidRPr="000B2C31">
        <w:rPr>
          <w:szCs w:val="24"/>
          <w:vertAlign w:val="superscript"/>
          <w:lang w:val="fr-FR"/>
        </w:rPr>
        <w:t>o</w:t>
      </w:r>
      <w:r w:rsidRPr="009208FF">
        <w:rPr>
          <w:szCs w:val="24"/>
          <w:lang w:val="fr-FR"/>
        </w:rPr>
        <w:t xml:space="preserve"> 17120/09, 8 avril 2014</w:t>
      </w:r>
      <w:r>
        <w:rPr>
          <w:szCs w:val="24"/>
          <w:lang w:val="fr-FR"/>
        </w:rPr>
        <w:t>).</w:t>
      </w:r>
    </w:p>
    <w:p w:rsidR="001F4B22" w:rsidRDefault="001F4B22" w:rsidP="00C61E1D">
      <w:pPr>
        <w:pStyle w:val="ECHRHeading4"/>
        <w:rPr>
          <w:lang w:val="fr-FR"/>
        </w:rPr>
      </w:pPr>
      <w:r>
        <w:rPr>
          <w:lang w:val="fr-FR"/>
        </w:rPr>
        <w:t>b)  Le Gouvernement</w:t>
      </w:r>
    </w:p>
    <w:p w:rsidR="001F4B22" w:rsidRDefault="001F4B22" w:rsidP="00C61E1D">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64</w:t>
      </w:r>
      <w:r>
        <w:rPr>
          <w:lang w:val="fr-FR"/>
        </w:rPr>
        <w:fldChar w:fldCharType="end"/>
      </w:r>
      <w:r>
        <w:rPr>
          <w:lang w:val="fr-FR"/>
        </w:rPr>
        <w:t>.  Selon le Gouvernement, en l’espèce la Cour de cassation n’avait aucune obligation de motiver son refus de poser une question préjudicielle à la CJCE. En effet, selon lui, la demande des requérants, telle que décrite au paragraphe </w:t>
      </w:r>
      <w:fldSimple w:instr=" REF questionprejudiciellerequ \h  \* MERGEFORMAT ">
        <w:r>
          <w:rPr>
            <w:noProof/>
            <w:lang w:val="fr-FR"/>
          </w:rPr>
          <w:t>23</w:t>
        </w:r>
      </w:fldSimple>
      <w:r>
        <w:rPr>
          <w:lang w:val="fr-FR"/>
        </w:rPr>
        <w:t xml:space="preserve"> ci-dessus, sortait du champ d’application de </w:t>
      </w:r>
      <w:r w:rsidRPr="009556E4">
        <w:rPr>
          <w:lang w:val="fr-FR"/>
        </w:rPr>
        <w:t>l</w:t>
      </w:r>
      <w:r>
        <w:rPr>
          <w:lang w:val="fr-FR"/>
        </w:rPr>
        <w:t>’</w:t>
      </w:r>
      <w:r w:rsidRPr="009556E4">
        <w:rPr>
          <w:lang w:val="fr-FR"/>
        </w:rPr>
        <w:t>article 234 du Traité instituant la Communauté européenne (soit l</w:t>
      </w:r>
      <w:r>
        <w:rPr>
          <w:lang w:val="fr-FR"/>
        </w:rPr>
        <w:t>’</w:t>
      </w:r>
      <w:r w:rsidRPr="009556E4">
        <w:rPr>
          <w:lang w:val="fr-FR"/>
        </w:rPr>
        <w:t>actuel article 267 du Traité sur le fonctionnement de l</w:t>
      </w:r>
      <w:r>
        <w:rPr>
          <w:lang w:val="fr-FR"/>
        </w:rPr>
        <w:t>’</w:t>
      </w:r>
      <w:r w:rsidRPr="009556E4">
        <w:rPr>
          <w:lang w:val="fr-FR"/>
        </w:rPr>
        <w:t>Union (TFUE)</w:t>
      </w:r>
      <w:r>
        <w:rPr>
          <w:lang w:val="fr-FR"/>
        </w:rPr>
        <w:t>) et était irrecevable aux motifs que : a)  une question préjudicielle n’aurait pas pour but d’établir la responsabilité d’un État pour le retard dans la transposition d’une directive (il appartiendrait dans ce cas à la Commission de l’UE d’entamer une procédure en manquement aux termes de l’article 258 du TFUE) ; et b)  la CJCE n’aurait pas compétence pour se prononcer sur le niveau de preuve exigé par une juridiction nationale, même lorsque cette juridiction – comme la cour d’appel en l’espèce – est appelée à appliquer le droit de l’UE. Sur ce dernier point, le Gouvernement précise par ailleurs que ce n’est pas pour manque de preuve que la cour d’appel avait rejeté l’appel des requérants.</w:t>
      </w:r>
    </w:p>
    <w:p w:rsidR="001F4B22" w:rsidRDefault="001F4B22" w:rsidP="00C61E1D">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65</w:t>
      </w:r>
      <w:r>
        <w:rPr>
          <w:lang w:val="fr-FR"/>
        </w:rPr>
        <w:fldChar w:fldCharType="end"/>
      </w:r>
      <w:r>
        <w:rPr>
          <w:lang w:val="fr-FR"/>
        </w:rPr>
        <w:t xml:space="preserve">.  De l’avis du Gouvernement, l’interprétation donnée par la CJCE aux directives </w:t>
      </w:r>
      <w:r w:rsidRPr="00790333">
        <w:rPr>
          <w:lang w:val="fr-FR"/>
        </w:rPr>
        <w:t>communautaires n</w:t>
      </w:r>
      <w:r w:rsidRPr="00790333">
        <w:rPr>
          <w:vertAlign w:val="superscript"/>
          <w:lang w:val="fr-FR"/>
        </w:rPr>
        <w:t>os</w:t>
      </w:r>
      <w:r w:rsidRPr="00790333">
        <w:rPr>
          <w:lang w:val="fr-FR"/>
        </w:rPr>
        <w:t xml:space="preserve"> 363 du 16</w:t>
      </w:r>
      <w:r>
        <w:rPr>
          <w:lang w:val="fr-FR"/>
        </w:rPr>
        <w:t> </w:t>
      </w:r>
      <w:r w:rsidRPr="00790333">
        <w:rPr>
          <w:lang w:val="fr-FR"/>
        </w:rPr>
        <w:t>juin 1975 et 82 du 26 janvier 1976</w:t>
      </w:r>
      <w:r>
        <w:rPr>
          <w:lang w:val="fr-FR"/>
        </w:rPr>
        <w:t xml:space="preserve"> ne prêtait pas à controverse et l’arrêt de la Cour de cassation ne se basait pas sur une interprétation différente de ces directives.</w:t>
      </w:r>
    </w:p>
    <w:p w:rsidR="001F4B22" w:rsidRDefault="001F4B22" w:rsidP="00C61E1D">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66</w:t>
      </w:r>
      <w:r>
        <w:rPr>
          <w:lang w:val="fr-FR"/>
        </w:rPr>
        <w:fldChar w:fldCharType="end"/>
      </w:r>
      <w:r>
        <w:rPr>
          <w:lang w:val="fr-FR"/>
        </w:rPr>
        <w:t>.  En tout état de cause, il estime qu’en l’espèce il était particulièrement difficile pour la Cour de cassation de motiver son refus dès lors que la demande des requérants aurait été formulée à titre subsidiaire et n’aurait été supportée par aucun argument juridique pertinent. Dès lors, aux yeux du Gouvernement, la Cour de cassation pouvait interpréter la demande en question comme devant être examinée seulement si l’affaire ne pouvait être tranchée sans qu’une question préjudicielle fût posée à la CJCE, ce qui n’aurait pas été le cas en l’espèce.</w:t>
      </w:r>
    </w:p>
    <w:bookmarkStart w:id="19" w:name="GvtsuCassaffirmedroitareparation"/>
    <w:p w:rsidR="001F4B22" w:rsidRDefault="001F4B22" w:rsidP="00C61E1D">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67</w:t>
      </w:r>
      <w:r>
        <w:rPr>
          <w:lang w:val="fr-FR"/>
        </w:rPr>
        <w:fldChar w:fldCharType="end"/>
      </w:r>
      <w:bookmarkEnd w:id="19"/>
      <w:r>
        <w:rPr>
          <w:lang w:val="fr-FR"/>
        </w:rPr>
        <w:t xml:space="preserve">.  Le Gouvernement ajoute que la CJCE s’était déjà prononcée sur le point de savoir si les directives litigieuses étaient d’application immédiate (voir les </w:t>
      </w:r>
      <w:r w:rsidRPr="00790333">
        <w:rPr>
          <w:lang w:val="fr-FR"/>
        </w:rPr>
        <w:t>arrêt</w:t>
      </w:r>
      <w:r>
        <w:rPr>
          <w:lang w:val="fr-FR"/>
        </w:rPr>
        <w:t xml:space="preserve">s </w:t>
      </w:r>
      <w:r w:rsidRPr="00790333">
        <w:rPr>
          <w:i/>
          <w:lang w:val="fr-FR"/>
        </w:rPr>
        <w:t>Carbonari</w:t>
      </w:r>
      <w:r>
        <w:rPr>
          <w:i/>
          <w:lang w:val="fr-FR"/>
        </w:rPr>
        <w:t xml:space="preserve"> </w:t>
      </w:r>
      <w:r>
        <w:rPr>
          <w:lang w:val="fr-FR"/>
        </w:rPr>
        <w:t>et</w:t>
      </w:r>
      <w:r w:rsidRPr="00790333">
        <w:rPr>
          <w:lang w:val="fr-FR"/>
        </w:rPr>
        <w:t xml:space="preserve"> </w:t>
      </w:r>
      <w:r w:rsidRPr="00790333">
        <w:rPr>
          <w:i/>
          <w:lang w:val="fr-FR"/>
        </w:rPr>
        <w:t>Gozza</w:t>
      </w:r>
      <w:r>
        <w:rPr>
          <w:lang w:val="fr-FR"/>
        </w:rPr>
        <w:t xml:space="preserve">, précités), ce dont la Cour de cassation aurait pris acte en indiquant que la non-transposition de ces directives </w:t>
      </w:r>
      <w:r w:rsidRPr="00790333">
        <w:rPr>
          <w:lang w:val="fr-FR"/>
        </w:rPr>
        <w:t xml:space="preserve">faisait </w:t>
      </w:r>
      <w:r>
        <w:rPr>
          <w:lang w:val="fr-FR"/>
        </w:rPr>
        <w:t>naître</w:t>
      </w:r>
      <w:r w:rsidRPr="00790333">
        <w:rPr>
          <w:lang w:val="fr-FR"/>
        </w:rPr>
        <w:t xml:space="preserve">, selon la jurisprudence de la </w:t>
      </w:r>
      <w:r>
        <w:rPr>
          <w:lang w:val="fr-FR"/>
        </w:rPr>
        <w:t>CJCE</w:t>
      </w:r>
      <w:r w:rsidRPr="00790333">
        <w:rPr>
          <w:lang w:val="fr-FR"/>
        </w:rPr>
        <w:t>, le droit à la réparation des dommages subis par les particuliers</w:t>
      </w:r>
      <w:r>
        <w:rPr>
          <w:lang w:val="fr-FR"/>
        </w:rPr>
        <w:t xml:space="preserve"> (paragraphe </w:t>
      </w:r>
      <w:fldSimple w:instr=" REF Ccassdroitareparation \h  \* MERGEFORMAT ">
        <w:r>
          <w:rPr>
            <w:noProof/>
            <w:lang w:val="fr-FR"/>
          </w:rPr>
          <w:t>25</w:t>
        </w:r>
      </w:fldSimple>
      <w:r>
        <w:rPr>
          <w:lang w:val="fr-FR"/>
        </w:rPr>
        <w:t xml:space="preserve"> ci-dessus).</w:t>
      </w:r>
    </w:p>
    <w:p w:rsidR="001F4B22" w:rsidRPr="00C61E1D" w:rsidRDefault="001F4B22" w:rsidP="00C61E1D">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68</w:t>
      </w:r>
      <w:r>
        <w:rPr>
          <w:lang w:val="fr-FR"/>
        </w:rPr>
        <w:fldChar w:fldCharType="end"/>
      </w:r>
      <w:r>
        <w:rPr>
          <w:lang w:val="fr-FR"/>
        </w:rPr>
        <w:t xml:space="preserve">.  Le Gouvernement considère enfin que la présente affaire se distingue de l’affaire </w:t>
      </w:r>
      <w:r w:rsidRPr="009208FF">
        <w:rPr>
          <w:i/>
          <w:szCs w:val="24"/>
          <w:lang w:val="fr-FR"/>
        </w:rPr>
        <w:t>Dhahbi</w:t>
      </w:r>
      <w:r>
        <w:rPr>
          <w:szCs w:val="24"/>
          <w:lang w:val="fr-FR"/>
        </w:rPr>
        <w:t xml:space="preserve"> (précitée) dans laquelle la Cour aurait conclu à la violation de l’article 6 § 1 de la Convention en raison de la non-motivation par la Cour de cassation de son refus de poser une question préjudicielle </w:t>
      </w:r>
      <w:r w:rsidRPr="00F972AE">
        <w:rPr>
          <w:lang w:val="fr-FR"/>
        </w:rPr>
        <w:t>formulée par le requérant</w:t>
      </w:r>
      <w:r>
        <w:rPr>
          <w:lang w:val="fr-FR"/>
        </w:rPr>
        <w:t xml:space="preserve">. Il indique que, en l’espèce, dans son arrêt du </w:t>
      </w:r>
      <w:r w:rsidRPr="00790333">
        <w:rPr>
          <w:lang w:val="fr-FR"/>
        </w:rPr>
        <w:t>14</w:t>
      </w:r>
      <w:r>
        <w:rPr>
          <w:lang w:val="fr-FR"/>
        </w:rPr>
        <w:t> </w:t>
      </w:r>
      <w:r w:rsidRPr="00790333">
        <w:rPr>
          <w:lang w:val="fr-FR"/>
        </w:rPr>
        <w:t>novembre 2008</w:t>
      </w:r>
      <w:r>
        <w:rPr>
          <w:lang w:val="fr-FR"/>
        </w:rPr>
        <w:t>, la Cour de cassation s’est explicitement référée à la jurisprudence de la CJCE sur l’interprétation des directives en cause. Par conséquent, il est d’avis qu’il était possible de comprendre les raisons pour lesquelles elle aurait décidé qu’il n’était pas nécessaire de poser une question préjudicielle à la CJCE.</w:t>
      </w:r>
    </w:p>
    <w:p w:rsidR="001F4B22" w:rsidRDefault="001F4B22" w:rsidP="00790333">
      <w:pPr>
        <w:pStyle w:val="ECHRHeading3"/>
        <w:rPr>
          <w:lang w:val="fr-FR"/>
        </w:rPr>
      </w:pPr>
      <w:r>
        <w:rPr>
          <w:lang w:val="fr-FR"/>
        </w:rPr>
        <w:t>2.  Appréciation de la Cour</w:t>
      </w:r>
    </w:p>
    <w:p w:rsidR="001F4B22" w:rsidRPr="009556E4" w:rsidRDefault="001F4B22" w:rsidP="009556E4">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69</w:t>
      </w:r>
      <w:r>
        <w:rPr>
          <w:lang w:val="fr-FR"/>
        </w:rPr>
        <w:fldChar w:fldCharType="end"/>
      </w:r>
      <w:r w:rsidRPr="00AD412E">
        <w:rPr>
          <w:lang w:val="fr-FR"/>
        </w:rPr>
        <w:t>.  </w:t>
      </w:r>
      <w:r w:rsidRPr="009556E4">
        <w:rPr>
          <w:lang w:val="fr-FR"/>
        </w:rPr>
        <w:t>La Cour rappelle que</w:t>
      </w:r>
      <w:r>
        <w:rPr>
          <w:lang w:val="fr-FR"/>
        </w:rPr>
        <w:t>,</w:t>
      </w:r>
      <w:r w:rsidRPr="009556E4">
        <w:rPr>
          <w:lang w:val="fr-FR"/>
        </w:rPr>
        <w:t xml:space="preserve"> dans </w:t>
      </w:r>
      <w:r>
        <w:rPr>
          <w:lang w:val="fr-FR"/>
        </w:rPr>
        <w:t>la décision</w:t>
      </w:r>
      <w:r w:rsidRPr="009556E4">
        <w:rPr>
          <w:lang w:val="fr-FR"/>
        </w:rPr>
        <w:t xml:space="preserve"> </w:t>
      </w:r>
      <w:r w:rsidRPr="009556E4">
        <w:rPr>
          <w:i/>
          <w:lang w:val="fr-FR"/>
        </w:rPr>
        <w:t xml:space="preserve">Vergauwen et autres </w:t>
      </w:r>
      <w:r w:rsidRPr="009556E4">
        <w:rPr>
          <w:lang w:val="fr-FR"/>
        </w:rPr>
        <w:t>(</w:t>
      </w:r>
      <w:r>
        <w:rPr>
          <w:lang w:val="fr-FR"/>
        </w:rPr>
        <w:t>précitée,</w:t>
      </w:r>
      <w:r w:rsidRPr="009556E4">
        <w:rPr>
          <w:lang w:val="fr-FR"/>
        </w:rPr>
        <w:t xml:space="preserve"> §§ 89-90), elle a exprimé les principes suivants</w:t>
      </w:r>
      <w:r>
        <w:rPr>
          <w:lang w:val="fr-FR"/>
        </w:rPr>
        <w:t xml:space="preserve"> (voir également </w:t>
      </w:r>
      <w:r w:rsidRPr="009208FF">
        <w:rPr>
          <w:i/>
          <w:szCs w:val="24"/>
          <w:lang w:val="fr-FR"/>
        </w:rPr>
        <w:t>Dhahbi</w:t>
      </w:r>
      <w:r w:rsidRPr="009208FF">
        <w:rPr>
          <w:szCs w:val="24"/>
          <w:lang w:val="fr-FR"/>
        </w:rPr>
        <w:t>,</w:t>
      </w:r>
      <w:r>
        <w:rPr>
          <w:szCs w:val="24"/>
          <w:lang w:val="fr-FR"/>
        </w:rPr>
        <w:t xml:space="preserve"> précité,</w:t>
      </w:r>
      <w:r w:rsidRPr="009208FF">
        <w:rPr>
          <w:szCs w:val="24"/>
          <w:lang w:val="fr-FR"/>
        </w:rPr>
        <w:t xml:space="preserve"> § 31</w:t>
      </w:r>
      <w:r>
        <w:rPr>
          <w:sz w:val="22"/>
          <w:lang w:val="fr-FR"/>
        </w:rPr>
        <w:t>) </w:t>
      </w:r>
      <w:r w:rsidRPr="009556E4">
        <w:rPr>
          <w:lang w:val="fr-FR"/>
        </w:rPr>
        <w:t>:</w:t>
      </w:r>
    </w:p>
    <w:p w:rsidR="001F4B22" w:rsidRPr="009556E4" w:rsidRDefault="001F4B22" w:rsidP="009556E4">
      <w:pPr>
        <w:pStyle w:val="ECHRPara"/>
        <w:rPr>
          <w:lang w:val="fr-FR"/>
        </w:rPr>
      </w:pPr>
      <w:r w:rsidRPr="009556E4">
        <w:rPr>
          <w:lang w:val="fr-FR"/>
        </w:rPr>
        <w:t>–</w:t>
      </w:r>
      <w:r>
        <w:rPr>
          <w:lang w:val="fr-FR"/>
        </w:rPr>
        <w:t>  </w:t>
      </w:r>
      <w:r w:rsidRPr="009556E4">
        <w:rPr>
          <w:lang w:val="fr-FR"/>
        </w:rPr>
        <w:t>l</w:t>
      </w:r>
      <w:r>
        <w:rPr>
          <w:lang w:val="fr-FR"/>
        </w:rPr>
        <w:t>’</w:t>
      </w:r>
      <w:r w:rsidRPr="009556E4">
        <w:rPr>
          <w:lang w:val="fr-FR"/>
        </w:rPr>
        <w:t>article 6 § 1</w:t>
      </w:r>
      <w:r>
        <w:rPr>
          <w:lang w:val="fr-FR"/>
        </w:rPr>
        <w:t xml:space="preserve"> de la Convention</w:t>
      </w:r>
      <w:r w:rsidRPr="009556E4">
        <w:rPr>
          <w:lang w:val="fr-FR"/>
        </w:rPr>
        <w:t xml:space="preserve"> met à la charge des juridictions internes une obligation de motiver au regard du droit applicable les décisions par lesquelles elles refusent de poser une question préjudicielle ;</w:t>
      </w:r>
    </w:p>
    <w:p w:rsidR="001F4B22" w:rsidRPr="009556E4" w:rsidRDefault="001F4B22" w:rsidP="009556E4">
      <w:pPr>
        <w:pStyle w:val="ECHRPara"/>
        <w:rPr>
          <w:lang w:val="fr-FR"/>
        </w:rPr>
      </w:pPr>
      <w:r w:rsidRPr="009556E4">
        <w:rPr>
          <w:lang w:val="fr-FR"/>
        </w:rPr>
        <w:t>–</w:t>
      </w:r>
      <w:r>
        <w:rPr>
          <w:lang w:val="fr-FR"/>
        </w:rPr>
        <w:t>  </w:t>
      </w:r>
      <w:r w:rsidRPr="009556E4">
        <w:rPr>
          <w:lang w:val="fr-FR"/>
        </w:rPr>
        <w:t>lorsqu</w:t>
      </w:r>
      <w:r>
        <w:rPr>
          <w:lang w:val="fr-FR"/>
        </w:rPr>
        <w:t>’</w:t>
      </w:r>
      <w:r w:rsidRPr="009556E4">
        <w:rPr>
          <w:lang w:val="fr-FR"/>
        </w:rPr>
        <w:t>elle est saisie sur ce terrain d</w:t>
      </w:r>
      <w:r>
        <w:rPr>
          <w:lang w:val="fr-FR"/>
        </w:rPr>
        <w:t>’</w:t>
      </w:r>
      <w:r w:rsidRPr="009556E4">
        <w:rPr>
          <w:lang w:val="fr-FR"/>
        </w:rPr>
        <w:t>une allégation de violation de l</w:t>
      </w:r>
      <w:r>
        <w:rPr>
          <w:lang w:val="fr-FR"/>
        </w:rPr>
        <w:t>’</w:t>
      </w:r>
      <w:r w:rsidRPr="009556E4">
        <w:rPr>
          <w:lang w:val="fr-FR"/>
        </w:rPr>
        <w:t>article 6 § 1, la tâche de la Cour consiste à s</w:t>
      </w:r>
      <w:r>
        <w:rPr>
          <w:lang w:val="fr-FR"/>
        </w:rPr>
        <w:t>’</w:t>
      </w:r>
      <w:r w:rsidRPr="009556E4">
        <w:rPr>
          <w:lang w:val="fr-FR"/>
        </w:rPr>
        <w:t>assurer que la décision de refus critiquée devant elle est dûment assortie de</w:t>
      </w:r>
      <w:r>
        <w:rPr>
          <w:lang w:val="fr-FR"/>
        </w:rPr>
        <w:t>s</w:t>
      </w:r>
      <w:r w:rsidRPr="009556E4">
        <w:rPr>
          <w:lang w:val="fr-FR"/>
        </w:rPr>
        <w:t xml:space="preserve"> motifs</w:t>
      </w:r>
      <w:r>
        <w:rPr>
          <w:lang w:val="fr-FR"/>
        </w:rPr>
        <w:t xml:space="preserve"> requis</w:t>
      </w:r>
      <w:r w:rsidRPr="009556E4">
        <w:rPr>
          <w:lang w:val="fr-FR"/>
        </w:rPr>
        <w:t> ;</w:t>
      </w:r>
    </w:p>
    <w:p w:rsidR="001F4B22" w:rsidRPr="009556E4" w:rsidRDefault="001F4B22" w:rsidP="009556E4">
      <w:pPr>
        <w:pStyle w:val="ECHRPara"/>
        <w:rPr>
          <w:lang w:val="fr-FR"/>
        </w:rPr>
      </w:pPr>
      <w:r w:rsidRPr="009556E4">
        <w:rPr>
          <w:lang w:val="fr-FR"/>
        </w:rPr>
        <w:t>–</w:t>
      </w:r>
      <w:r>
        <w:rPr>
          <w:lang w:val="fr-FR"/>
        </w:rPr>
        <w:t>  </w:t>
      </w:r>
      <w:r w:rsidRPr="009556E4">
        <w:rPr>
          <w:lang w:val="fr-FR"/>
        </w:rPr>
        <w:t>s</w:t>
      </w:r>
      <w:r>
        <w:rPr>
          <w:lang w:val="fr-FR"/>
        </w:rPr>
        <w:t>’</w:t>
      </w:r>
      <w:r w:rsidRPr="009556E4">
        <w:rPr>
          <w:lang w:val="fr-FR"/>
        </w:rPr>
        <w:t>il lui revient de procéder rigoureusement à cette vérification, il ne lui appartient pas de connaître d</w:t>
      </w:r>
      <w:r>
        <w:rPr>
          <w:lang w:val="fr-FR"/>
        </w:rPr>
        <w:t>’</w:t>
      </w:r>
      <w:r w:rsidRPr="009556E4">
        <w:rPr>
          <w:lang w:val="fr-FR"/>
        </w:rPr>
        <w:t>éventuelles erreurs qu</w:t>
      </w:r>
      <w:r>
        <w:rPr>
          <w:lang w:val="fr-FR"/>
        </w:rPr>
        <w:t>’</w:t>
      </w:r>
      <w:r w:rsidRPr="009556E4">
        <w:rPr>
          <w:lang w:val="fr-FR"/>
        </w:rPr>
        <w:t>auraient commises les juridictions internes dans l</w:t>
      </w:r>
      <w:r>
        <w:rPr>
          <w:lang w:val="fr-FR"/>
        </w:rPr>
        <w:t>’</w:t>
      </w:r>
      <w:r w:rsidRPr="009556E4">
        <w:rPr>
          <w:lang w:val="fr-FR"/>
        </w:rPr>
        <w:t>interprétation ou l</w:t>
      </w:r>
      <w:r>
        <w:rPr>
          <w:lang w:val="fr-FR"/>
        </w:rPr>
        <w:t>’</w:t>
      </w:r>
      <w:r w:rsidRPr="009556E4">
        <w:rPr>
          <w:lang w:val="fr-FR"/>
        </w:rPr>
        <w:t>application du droit pertinent ;</w:t>
      </w:r>
    </w:p>
    <w:p w:rsidR="001F4B22" w:rsidRDefault="001F4B22" w:rsidP="009556E4">
      <w:pPr>
        <w:pStyle w:val="ECHRPara"/>
        <w:rPr>
          <w:lang w:val="fr-FR"/>
        </w:rPr>
      </w:pPr>
      <w:r w:rsidRPr="009556E4">
        <w:rPr>
          <w:lang w:val="fr-FR"/>
        </w:rPr>
        <w:t>–</w:t>
      </w:r>
      <w:r>
        <w:rPr>
          <w:lang w:val="fr-FR"/>
        </w:rPr>
        <w:t>  </w:t>
      </w:r>
      <w:r w:rsidRPr="009556E4">
        <w:rPr>
          <w:lang w:val="fr-FR"/>
        </w:rPr>
        <w:t>dans le cadre spécifique du troisième alinéa de l</w:t>
      </w:r>
      <w:r>
        <w:rPr>
          <w:lang w:val="fr-FR"/>
        </w:rPr>
        <w:t>’</w:t>
      </w:r>
      <w:r w:rsidRPr="009556E4">
        <w:rPr>
          <w:lang w:val="fr-FR"/>
        </w:rPr>
        <w:t>article 234 du Traité instituant la Communauté européenne (soit l</w:t>
      </w:r>
      <w:r>
        <w:rPr>
          <w:lang w:val="fr-FR"/>
        </w:rPr>
        <w:t>’</w:t>
      </w:r>
      <w:r w:rsidRPr="009556E4">
        <w:rPr>
          <w:lang w:val="fr-FR"/>
        </w:rPr>
        <w:t>actuel article 267 du TFUE), cela signifie que les juridictions nationales dont les décisions ne sont pas susceptibles d</w:t>
      </w:r>
      <w:r>
        <w:rPr>
          <w:lang w:val="fr-FR"/>
        </w:rPr>
        <w:t>’</w:t>
      </w:r>
      <w:r w:rsidRPr="009556E4">
        <w:rPr>
          <w:lang w:val="fr-FR"/>
        </w:rPr>
        <w:t>un recours juridictionnel de droit interne sont tenues, lorsqu</w:t>
      </w:r>
      <w:r>
        <w:rPr>
          <w:lang w:val="fr-FR"/>
        </w:rPr>
        <w:t>’</w:t>
      </w:r>
      <w:r w:rsidRPr="009556E4">
        <w:rPr>
          <w:lang w:val="fr-FR"/>
        </w:rPr>
        <w:t xml:space="preserve">elles refusent de saisir la </w:t>
      </w:r>
      <w:r>
        <w:rPr>
          <w:lang w:val="fr-FR"/>
        </w:rPr>
        <w:t>CJCE</w:t>
      </w:r>
      <w:r w:rsidRPr="009556E4">
        <w:rPr>
          <w:lang w:val="fr-FR"/>
        </w:rPr>
        <w:t xml:space="preserve"> à titre préjudiciel d</w:t>
      </w:r>
      <w:r>
        <w:rPr>
          <w:lang w:val="fr-FR"/>
        </w:rPr>
        <w:t>’</w:t>
      </w:r>
      <w:r w:rsidRPr="009556E4">
        <w:rPr>
          <w:lang w:val="fr-FR"/>
        </w:rPr>
        <w:t>une question relative à l</w:t>
      </w:r>
      <w:r>
        <w:rPr>
          <w:lang w:val="fr-FR"/>
        </w:rPr>
        <w:t>’</w:t>
      </w:r>
      <w:r w:rsidRPr="009556E4">
        <w:rPr>
          <w:lang w:val="fr-FR"/>
        </w:rPr>
        <w:t>interprétation du droit de l</w:t>
      </w:r>
      <w:r>
        <w:rPr>
          <w:lang w:val="fr-FR"/>
        </w:rPr>
        <w:t>’</w:t>
      </w:r>
      <w:r w:rsidRPr="009556E4">
        <w:rPr>
          <w:lang w:val="fr-FR"/>
        </w:rPr>
        <w:t xml:space="preserve">UE soulevée devant elles, de motiver leur refus au regard des exceptions prévues par la jurisprudence de la </w:t>
      </w:r>
      <w:r>
        <w:rPr>
          <w:lang w:val="fr-FR"/>
        </w:rPr>
        <w:t>CJCE</w:t>
      </w:r>
      <w:r w:rsidRPr="009556E4">
        <w:rPr>
          <w:lang w:val="fr-FR"/>
        </w:rPr>
        <w:t>. Il leur faut donc indiquer les raisons pour lesquelles elles considèrent que la question n</w:t>
      </w:r>
      <w:r>
        <w:rPr>
          <w:lang w:val="fr-FR"/>
        </w:rPr>
        <w:t>’</w:t>
      </w:r>
      <w:r w:rsidRPr="009556E4">
        <w:rPr>
          <w:lang w:val="fr-FR"/>
        </w:rPr>
        <w:t>est pas pertinente, ou que la disposition de droit de l</w:t>
      </w:r>
      <w:r>
        <w:rPr>
          <w:lang w:val="fr-FR"/>
        </w:rPr>
        <w:t>’</w:t>
      </w:r>
      <w:r w:rsidRPr="009556E4">
        <w:rPr>
          <w:lang w:val="fr-FR"/>
        </w:rPr>
        <w:t>UE en cause a déjà fait l</w:t>
      </w:r>
      <w:r>
        <w:rPr>
          <w:lang w:val="fr-FR"/>
        </w:rPr>
        <w:t>’</w:t>
      </w:r>
      <w:r w:rsidRPr="009556E4">
        <w:rPr>
          <w:lang w:val="fr-FR"/>
        </w:rPr>
        <w:t>objet d</w:t>
      </w:r>
      <w:r>
        <w:rPr>
          <w:lang w:val="fr-FR"/>
        </w:rPr>
        <w:t>’</w:t>
      </w:r>
      <w:r w:rsidRPr="009556E4">
        <w:rPr>
          <w:lang w:val="fr-FR"/>
        </w:rPr>
        <w:t xml:space="preserve">une interprétation de la part de la </w:t>
      </w:r>
      <w:r>
        <w:rPr>
          <w:lang w:val="fr-FR"/>
        </w:rPr>
        <w:t>CJCE</w:t>
      </w:r>
      <w:r w:rsidRPr="009556E4">
        <w:rPr>
          <w:lang w:val="fr-FR"/>
        </w:rPr>
        <w:t>, ou encore que l</w:t>
      </w:r>
      <w:r>
        <w:rPr>
          <w:lang w:val="fr-FR"/>
        </w:rPr>
        <w:t>’</w:t>
      </w:r>
      <w:r w:rsidRPr="009556E4">
        <w:rPr>
          <w:lang w:val="fr-FR"/>
        </w:rPr>
        <w:t>application correcte du droit de l</w:t>
      </w:r>
      <w:r>
        <w:rPr>
          <w:lang w:val="fr-FR"/>
        </w:rPr>
        <w:t>’</w:t>
      </w:r>
      <w:r w:rsidRPr="009556E4">
        <w:rPr>
          <w:lang w:val="fr-FR"/>
        </w:rPr>
        <w:t>UE s</w:t>
      </w:r>
      <w:r>
        <w:rPr>
          <w:lang w:val="fr-FR"/>
        </w:rPr>
        <w:t>’</w:t>
      </w:r>
      <w:r w:rsidRPr="009556E4">
        <w:rPr>
          <w:lang w:val="fr-FR"/>
        </w:rPr>
        <w:t>impose avec une telle évidence qu</w:t>
      </w:r>
      <w:r>
        <w:rPr>
          <w:lang w:val="fr-FR"/>
        </w:rPr>
        <w:t>’</w:t>
      </w:r>
      <w:r w:rsidRPr="009556E4">
        <w:rPr>
          <w:lang w:val="fr-FR"/>
        </w:rPr>
        <w:t>elle ne laisse place à aucun doute raisonnable.</w:t>
      </w:r>
    </w:p>
    <w:p w:rsidR="001F4B22" w:rsidRDefault="001F4B22" w:rsidP="009556E4">
      <w:pPr>
        <w:pStyle w:val="ECHRPara"/>
        <w:rPr>
          <w:szCs w:val="24"/>
          <w:lang w:val="fr-FR"/>
        </w:rPr>
      </w:pPr>
      <w:r>
        <w:rPr>
          <w:lang w:val="fr-FR"/>
        </w:rPr>
        <w:fldChar w:fldCharType="begin"/>
      </w:r>
      <w:r>
        <w:rPr>
          <w:lang w:val="fr-FR"/>
        </w:rPr>
        <w:instrText xml:space="preserve"> SEQ level0 \*arabic </w:instrText>
      </w:r>
      <w:r>
        <w:rPr>
          <w:lang w:val="fr-FR"/>
        </w:rPr>
        <w:fldChar w:fldCharType="separate"/>
      </w:r>
      <w:r>
        <w:rPr>
          <w:noProof/>
          <w:lang w:val="fr-FR"/>
        </w:rPr>
        <w:t>70</w:t>
      </w:r>
      <w:r>
        <w:rPr>
          <w:lang w:val="fr-FR"/>
        </w:rPr>
        <w:fldChar w:fldCharType="end"/>
      </w:r>
      <w:r>
        <w:rPr>
          <w:lang w:val="fr-FR"/>
        </w:rPr>
        <w:t xml:space="preserve">.  En l’espèce, pour le cas où leur pourvoi ne serait pas accueilli, les requérants ont demandé à la Cour de cassation de poser à la CJCE la question préjudicielle de savoir : </w:t>
      </w:r>
      <w:r w:rsidRPr="00790333">
        <w:rPr>
          <w:lang w:val="fr-FR"/>
        </w:rPr>
        <w:t>a)</w:t>
      </w:r>
      <w:r>
        <w:rPr>
          <w:lang w:val="fr-FR"/>
        </w:rPr>
        <w:t>  </w:t>
      </w:r>
      <w:r w:rsidRPr="00790333">
        <w:rPr>
          <w:lang w:val="fr-FR"/>
        </w:rPr>
        <w:t>si la non-transposition, par l</w:t>
      </w:r>
      <w:r>
        <w:rPr>
          <w:lang w:val="fr-FR"/>
        </w:rPr>
        <w:t>’</w:t>
      </w:r>
      <w:r w:rsidRPr="00790333">
        <w:rPr>
          <w:lang w:val="fr-FR"/>
        </w:rPr>
        <w:t>État italien, des directives n</w:t>
      </w:r>
      <w:r w:rsidRPr="00790333">
        <w:rPr>
          <w:vertAlign w:val="superscript"/>
          <w:lang w:val="fr-FR"/>
        </w:rPr>
        <w:t>os</w:t>
      </w:r>
      <w:r w:rsidRPr="00790333">
        <w:rPr>
          <w:lang w:val="fr-FR"/>
        </w:rPr>
        <w:t xml:space="preserve"> 363 du 16 juin 1975 et 82 du 26 janvier 1976 dans le délai fixé à cet effet s</w:t>
      </w:r>
      <w:r>
        <w:rPr>
          <w:lang w:val="fr-FR"/>
        </w:rPr>
        <w:t>’</w:t>
      </w:r>
      <w:r w:rsidRPr="00790333">
        <w:rPr>
          <w:lang w:val="fr-FR"/>
        </w:rPr>
        <w:t>analysait en une violation grave et manifeste du droit communautaire, entraînant l</w:t>
      </w:r>
      <w:r>
        <w:rPr>
          <w:lang w:val="fr-FR"/>
        </w:rPr>
        <w:t>’</w:t>
      </w:r>
      <w:r w:rsidRPr="00790333">
        <w:rPr>
          <w:lang w:val="fr-FR"/>
        </w:rPr>
        <w:t>obligation de l</w:t>
      </w:r>
      <w:r>
        <w:rPr>
          <w:lang w:val="fr-FR"/>
        </w:rPr>
        <w:t>’</w:t>
      </w:r>
      <w:r w:rsidRPr="00790333">
        <w:rPr>
          <w:lang w:val="fr-FR"/>
        </w:rPr>
        <w:t>État de réparer le préjudice subi par les personnes lésées ; et b)</w:t>
      </w:r>
      <w:r>
        <w:rPr>
          <w:lang w:val="fr-FR"/>
        </w:rPr>
        <w:t>  </w:t>
      </w:r>
      <w:r w:rsidRPr="00790333">
        <w:rPr>
          <w:lang w:val="fr-FR"/>
        </w:rPr>
        <w:t>si les conditions prévues par le décret législatif n</w:t>
      </w:r>
      <w:r w:rsidRPr="000B2C31">
        <w:rPr>
          <w:vertAlign w:val="superscript"/>
          <w:lang w:val="fr-FR"/>
        </w:rPr>
        <w:t>o</w:t>
      </w:r>
      <w:r w:rsidRPr="00790333">
        <w:rPr>
          <w:lang w:val="fr-FR"/>
        </w:rPr>
        <w:t xml:space="preserve"> 257 de 1991 rendaient impossible ou excessivement difficile </w:t>
      </w:r>
      <w:r>
        <w:rPr>
          <w:lang w:val="fr-FR"/>
        </w:rPr>
        <w:t>l’obtention de</w:t>
      </w:r>
      <w:r w:rsidRPr="00790333">
        <w:rPr>
          <w:lang w:val="fr-FR"/>
        </w:rPr>
        <w:t xml:space="preserve"> ce dédommagement</w:t>
      </w:r>
      <w:r>
        <w:rPr>
          <w:lang w:val="fr-FR"/>
        </w:rPr>
        <w:t xml:space="preserve"> (paragraphe </w:t>
      </w:r>
      <w:fldSimple w:instr=" REF questionprejudiciellerequ \h  \* MERGEFORMAT ">
        <w:r>
          <w:rPr>
            <w:noProof/>
            <w:lang w:val="fr-FR"/>
          </w:rPr>
          <w:t>23</w:t>
        </w:r>
      </w:fldSimple>
      <w:r>
        <w:rPr>
          <w:lang w:val="fr-FR"/>
        </w:rPr>
        <w:t xml:space="preserve"> ci-dessus)</w:t>
      </w:r>
      <w:r w:rsidRPr="00790333">
        <w:rPr>
          <w:lang w:val="fr-FR"/>
        </w:rPr>
        <w:t>.</w:t>
      </w:r>
      <w:r>
        <w:rPr>
          <w:lang w:val="fr-FR"/>
        </w:rPr>
        <w:t xml:space="preserve"> </w:t>
      </w:r>
      <w:r w:rsidRPr="00F622BE">
        <w:rPr>
          <w:lang w:val="fr-FR"/>
        </w:rPr>
        <w:t>Ses décisions n</w:t>
      </w:r>
      <w:r>
        <w:rPr>
          <w:lang w:val="fr-FR"/>
        </w:rPr>
        <w:t>’</w:t>
      </w:r>
      <w:r w:rsidRPr="00F622BE">
        <w:rPr>
          <w:lang w:val="fr-FR"/>
        </w:rPr>
        <w:t>étant susceptibles d</w:t>
      </w:r>
      <w:r>
        <w:rPr>
          <w:lang w:val="fr-FR"/>
        </w:rPr>
        <w:t>’</w:t>
      </w:r>
      <w:r w:rsidRPr="00F622BE">
        <w:rPr>
          <w:lang w:val="fr-FR"/>
        </w:rPr>
        <w:t>aucun recours juridictionnel en droit interne, la Cour de cassation avait l</w:t>
      </w:r>
      <w:r>
        <w:rPr>
          <w:lang w:val="fr-FR"/>
        </w:rPr>
        <w:t>’</w:t>
      </w:r>
      <w:r w:rsidRPr="00F622BE">
        <w:rPr>
          <w:lang w:val="fr-FR"/>
        </w:rPr>
        <w:t xml:space="preserve">obligation de motiver son refus de poser la question préjudicielle au regard des exceptions prévues par la jurisprudence de la </w:t>
      </w:r>
      <w:r>
        <w:rPr>
          <w:lang w:val="fr-FR"/>
        </w:rPr>
        <w:t>CJCE (</w:t>
      </w:r>
      <w:r w:rsidRPr="00F622BE">
        <w:rPr>
          <w:i/>
          <w:szCs w:val="24"/>
          <w:lang w:val="fr-FR"/>
        </w:rPr>
        <w:t>Dhahbi</w:t>
      </w:r>
      <w:r>
        <w:rPr>
          <w:szCs w:val="24"/>
          <w:lang w:val="fr-FR"/>
        </w:rPr>
        <w:t>, précité, § 32).</w:t>
      </w:r>
    </w:p>
    <w:p w:rsidR="001F4B22" w:rsidRPr="00F622BE" w:rsidRDefault="001F4B22" w:rsidP="009556E4">
      <w:pPr>
        <w:pStyle w:val="ECHRPara"/>
        <w:rPr>
          <w:lang w:val="fr-FR"/>
        </w:rPr>
      </w:pPr>
      <w:r w:rsidRPr="00F622BE">
        <w:rPr>
          <w:lang w:val="fr-FR"/>
        </w:rPr>
        <w:fldChar w:fldCharType="begin"/>
      </w:r>
      <w:r w:rsidRPr="00F622BE">
        <w:rPr>
          <w:lang w:val="fr-FR"/>
        </w:rPr>
        <w:instrText xml:space="preserve"> SEQ level0 \*arabic </w:instrText>
      </w:r>
      <w:r w:rsidRPr="00F622BE">
        <w:rPr>
          <w:lang w:val="fr-FR"/>
        </w:rPr>
        <w:fldChar w:fldCharType="separate"/>
      </w:r>
      <w:r>
        <w:rPr>
          <w:noProof/>
          <w:lang w:val="fr-FR"/>
        </w:rPr>
        <w:t>71</w:t>
      </w:r>
      <w:r w:rsidRPr="00F622BE">
        <w:rPr>
          <w:lang w:val="fr-FR"/>
        </w:rPr>
        <w:fldChar w:fldCharType="end"/>
      </w:r>
      <w:r w:rsidRPr="00F622BE">
        <w:rPr>
          <w:lang w:val="fr-FR"/>
        </w:rPr>
        <w:t>.  La Cour a examiné l</w:t>
      </w:r>
      <w:r>
        <w:rPr>
          <w:lang w:val="fr-FR"/>
        </w:rPr>
        <w:t>’</w:t>
      </w:r>
      <w:r w:rsidRPr="00F622BE">
        <w:rPr>
          <w:lang w:val="fr-FR"/>
        </w:rPr>
        <w:t xml:space="preserve">arrêt de la Cour de cassation du </w:t>
      </w:r>
      <w:r w:rsidRPr="00790333">
        <w:rPr>
          <w:lang w:val="fr-FR"/>
        </w:rPr>
        <w:t>14 novembre 2008</w:t>
      </w:r>
      <w:r w:rsidRPr="00F622BE">
        <w:rPr>
          <w:lang w:val="fr-FR"/>
        </w:rPr>
        <w:t xml:space="preserve"> sans y trouver aucune référence à la demande de renvoi préjudiciel formulée par les requérants et aux raisons pour lesquelles il a été considéré que la question soulevée ne méritait pas d</w:t>
      </w:r>
      <w:r>
        <w:rPr>
          <w:lang w:val="fr-FR"/>
        </w:rPr>
        <w:t>’</w:t>
      </w:r>
      <w:r w:rsidRPr="00F622BE">
        <w:rPr>
          <w:lang w:val="fr-FR"/>
        </w:rPr>
        <w:t xml:space="preserve">être transmise à la </w:t>
      </w:r>
      <w:r>
        <w:rPr>
          <w:lang w:val="fr-FR"/>
        </w:rPr>
        <w:t xml:space="preserve">CJCE (paragraphe </w:t>
      </w:r>
      <w:fldSimple w:instr=" REF questionprejudiciellenorefCcass \h  \* MERGEFORMAT ">
        <w:r>
          <w:rPr>
            <w:noProof/>
            <w:lang w:val="fr-FR"/>
          </w:rPr>
          <w:t>27</w:t>
        </w:r>
      </w:fldSimple>
      <w:r>
        <w:rPr>
          <w:lang w:val="fr-FR"/>
        </w:rPr>
        <w:t xml:space="preserve"> ci-dessus). Il est vrai que, dans la motivation de l’arrêt, la Cour de cassation a indiqué</w:t>
      </w:r>
      <w:r w:rsidRPr="00790333">
        <w:rPr>
          <w:lang w:val="fr-FR"/>
        </w:rPr>
        <w:t xml:space="preserve"> que le retard dans la transposition des directives</w:t>
      </w:r>
      <w:r>
        <w:rPr>
          <w:lang w:val="fr-FR"/>
        </w:rPr>
        <w:t xml:space="preserve"> litigieuses</w:t>
      </w:r>
      <w:r w:rsidRPr="00790333">
        <w:rPr>
          <w:lang w:val="fr-FR"/>
        </w:rPr>
        <w:t xml:space="preserve"> faisait </w:t>
      </w:r>
      <w:r>
        <w:rPr>
          <w:lang w:val="fr-FR"/>
        </w:rPr>
        <w:t>naître</w:t>
      </w:r>
      <w:r w:rsidRPr="00790333">
        <w:rPr>
          <w:lang w:val="fr-FR"/>
        </w:rPr>
        <w:t xml:space="preserve">, selon la jurisprudence de la </w:t>
      </w:r>
      <w:r>
        <w:rPr>
          <w:lang w:val="fr-FR"/>
        </w:rPr>
        <w:t>CJCE</w:t>
      </w:r>
      <w:r w:rsidRPr="00790333">
        <w:rPr>
          <w:lang w:val="fr-FR"/>
        </w:rPr>
        <w:t>, le droit à la réparation des dommages subis par les particuliers</w:t>
      </w:r>
      <w:r>
        <w:rPr>
          <w:lang w:val="fr-FR"/>
        </w:rPr>
        <w:t xml:space="preserve"> (paragraphe </w:t>
      </w:r>
      <w:fldSimple w:instr=" REF Ccassdroitareparation \h  \* MERGEFORMAT ">
        <w:r>
          <w:rPr>
            <w:noProof/>
            <w:lang w:val="fr-FR"/>
          </w:rPr>
          <w:t>25</w:t>
        </w:r>
      </w:fldSimple>
      <w:r>
        <w:rPr>
          <w:lang w:val="fr-FR"/>
        </w:rPr>
        <w:t xml:space="preserve"> ci-dessus). Le Gouvernement soutient, en substance, que cette affirmation peut s’analyser en une motivation implicite du rejet de la première branche de la question préjudicielle sollicitée par les requérants (paragraphe </w:t>
      </w:r>
      <w:fldSimple w:instr=" REF GvtsuCassaffirmedroitareparation \h  \* MERGEFORMAT ">
        <w:r>
          <w:rPr>
            <w:noProof/>
            <w:lang w:val="fr-FR"/>
          </w:rPr>
          <w:t>67</w:t>
        </w:r>
      </w:fldSimple>
      <w:r>
        <w:rPr>
          <w:lang w:val="fr-FR"/>
        </w:rPr>
        <w:t xml:space="preserve"> ci-dessus). Cependant, à supposer même que cela soit le cas, l’affirmation dont il s’agit </w:t>
      </w:r>
      <w:r w:rsidRPr="00D73543">
        <w:rPr>
          <w:lang w:val="fr-FR"/>
        </w:rPr>
        <w:t>n</w:t>
      </w:r>
      <w:r>
        <w:rPr>
          <w:lang w:val="fr-FR"/>
        </w:rPr>
        <w:t>’</w:t>
      </w:r>
      <w:r w:rsidRPr="00D73543">
        <w:rPr>
          <w:lang w:val="fr-FR"/>
        </w:rPr>
        <w:t>explique pas les raisons pour lesquelles la deuxième branche de la</w:t>
      </w:r>
      <w:r>
        <w:rPr>
          <w:lang w:val="fr-FR"/>
        </w:rPr>
        <w:t xml:space="preserve"> question préjudicielle – la question de savoir </w:t>
      </w:r>
      <w:r w:rsidRPr="00790333">
        <w:rPr>
          <w:lang w:val="fr-FR"/>
        </w:rPr>
        <w:t>si les conditions prévues par le décret législatif n</w:t>
      </w:r>
      <w:r w:rsidRPr="000B2C31">
        <w:rPr>
          <w:vertAlign w:val="superscript"/>
          <w:lang w:val="fr-FR"/>
        </w:rPr>
        <w:t>o</w:t>
      </w:r>
      <w:r w:rsidRPr="00790333">
        <w:rPr>
          <w:lang w:val="fr-FR"/>
        </w:rPr>
        <w:t xml:space="preserve"> 257 de 1991 rendaient </w:t>
      </w:r>
      <w:r>
        <w:rPr>
          <w:lang w:val="fr-FR"/>
        </w:rPr>
        <w:t xml:space="preserve">l’obtention du dédommagement </w:t>
      </w:r>
      <w:r w:rsidRPr="00790333">
        <w:rPr>
          <w:lang w:val="fr-FR"/>
        </w:rPr>
        <w:t>impossible ou excessivement difficile</w:t>
      </w:r>
      <w:r>
        <w:rPr>
          <w:lang w:val="fr-FR"/>
        </w:rPr>
        <w:t xml:space="preserve"> – était irrecevable.</w:t>
      </w:r>
    </w:p>
    <w:p w:rsidR="001F4B22" w:rsidRPr="008A6734" w:rsidRDefault="001F4B22" w:rsidP="009556E4">
      <w:pPr>
        <w:pStyle w:val="ECHRPara"/>
        <w:rPr>
          <w:lang w:val="fr-FR"/>
        </w:rPr>
      </w:pPr>
      <w:r w:rsidRPr="008A6734">
        <w:rPr>
          <w:lang w:val="fr-FR"/>
        </w:rPr>
        <w:fldChar w:fldCharType="begin"/>
      </w:r>
      <w:r w:rsidRPr="008A6734">
        <w:rPr>
          <w:lang w:val="fr-FR"/>
        </w:rPr>
        <w:instrText xml:space="preserve"> SEQ level0 \*arabic </w:instrText>
      </w:r>
      <w:r w:rsidRPr="008A6734">
        <w:rPr>
          <w:lang w:val="fr-FR"/>
        </w:rPr>
        <w:fldChar w:fldCharType="separate"/>
      </w:r>
      <w:r>
        <w:rPr>
          <w:noProof/>
          <w:lang w:val="fr-FR"/>
        </w:rPr>
        <w:t>72</w:t>
      </w:r>
      <w:r w:rsidRPr="008A6734">
        <w:rPr>
          <w:lang w:val="fr-FR"/>
        </w:rPr>
        <w:fldChar w:fldCharType="end"/>
      </w:r>
      <w:r w:rsidRPr="008A6734">
        <w:rPr>
          <w:lang w:val="fr-FR"/>
        </w:rPr>
        <w:t>.  La motivation de l</w:t>
      </w:r>
      <w:r>
        <w:rPr>
          <w:lang w:val="fr-FR"/>
        </w:rPr>
        <w:t>’</w:t>
      </w:r>
      <w:r w:rsidRPr="008A6734">
        <w:rPr>
          <w:lang w:val="fr-FR"/>
        </w:rPr>
        <w:t>arrêt litigieux ne permet donc pas d</w:t>
      </w:r>
      <w:r>
        <w:rPr>
          <w:lang w:val="fr-FR"/>
        </w:rPr>
        <w:t>’</w:t>
      </w:r>
      <w:r w:rsidRPr="008A6734">
        <w:rPr>
          <w:lang w:val="fr-FR"/>
        </w:rPr>
        <w:t xml:space="preserve">établir si cette </w:t>
      </w:r>
      <w:r>
        <w:rPr>
          <w:lang w:val="fr-FR"/>
        </w:rPr>
        <w:t xml:space="preserve">dernière </w:t>
      </w:r>
      <w:r w:rsidRPr="008A6734">
        <w:rPr>
          <w:lang w:val="fr-FR"/>
        </w:rPr>
        <w:t xml:space="preserve">branche de la question a été considérée comme non pertinente ou comme relative à une disposition claire ou </w:t>
      </w:r>
      <w:r>
        <w:rPr>
          <w:lang w:val="fr-FR"/>
        </w:rPr>
        <w:t xml:space="preserve">comme </w:t>
      </w:r>
      <w:r w:rsidRPr="008A6734">
        <w:rPr>
          <w:lang w:val="fr-FR"/>
        </w:rPr>
        <w:t xml:space="preserve">déjà interprétée par la </w:t>
      </w:r>
      <w:r>
        <w:rPr>
          <w:lang w:val="fr-FR"/>
        </w:rPr>
        <w:t>CJCE</w:t>
      </w:r>
      <w:r w:rsidRPr="008A6734">
        <w:rPr>
          <w:lang w:val="fr-FR"/>
        </w:rPr>
        <w:t>, ou bien si elle a été simplement ignorée (</w:t>
      </w:r>
      <w:r>
        <w:rPr>
          <w:lang w:val="fr-FR"/>
        </w:rPr>
        <w:t xml:space="preserve">voir, </w:t>
      </w:r>
      <w:r>
        <w:rPr>
          <w:i/>
          <w:lang w:val="fr-FR"/>
        </w:rPr>
        <w:t>mutatis mutandis</w:t>
      </w:r>
      <w:r>
        <w:rPr>
          <w:lang w:val="fr-FR"/>
        </w:rPr>
        <w:t>,</w:t>
      </w:r>
      <w:r>
        <w:rPr>
          <w:i/>
          <w:lang w:val="fr-FR"/>
        </w:rPr>
        <w:t xml:space="preserve"> </w:t>
      </w:r>
      <w:r w:rsidRPr="008A6734">
        <w:rPr>
          <w:i/>
          <w:szCs w:val="24"/>
          <w:lang w:val="fr-FR"/>
        </w:rPr>
        <w:t>Dhahbi</w:t>
      </w:r>
      <w:r>
        <w:rPr>
          <w:szCs w:val="24"/>
          <w:lang w:val="fr-FR"/>
        </w:rPr>
        <w:t>, précité, § 33 </w:t>
      </w:r>
      <w:r w:rsidRPr="008A6734">
        <w:rPr>
          <w:szCs w:val="24"/>
          <w:lang w:val="fr-FR"/>
        </w:rPr>
        <w:t>;</w:t>
      </w:r>
      <w:r w:rsidRPr="008A6734">
        <w:rPr>
          <w:lang w:val="fr-FR"/>
        </w:rPr>
        <w:t xml:space="preserve"> voir également, </w:t>
      </w:r>
      <w:r w:rsidRPr="008A6734">
        <w:rPr>
          <w:i/>
          <w:lang w:val="fr-FR"/>
        </w:rPr>
        <w:t>a contrario</w:t>
      </w:r>
      <w:r w:rsidRPr="008A6734">
        <w:rPr>
          <w:lang w:val="fr-FR"/>
        </w:rPr>
        <w:t xml:space="preserve">, </w:t>
      </w:r>
      <w:r w:rsidRPr="008A6734">
        <w:rPr>
          <w:i/>
          <w:lang w:val="fr-FR"/>
        </w:rPr>
        <w:t>Vergauwen</w:t>
      </w:r>
      <w:r w:rsidRPr="008A6734">
        <w:rPr>
          <w:lang w:val="fr-FR"/>
        </w:rPr>
        <w:t>,</w:t>
      </w:r>
      <w:r w:rsidRPr="008A6734">
        <w:rPr>
          <w:i/>
          <w:lang w:val="fr-FR"/>
        </w:rPr>
        <w:t xml:space="preserve"> </w:t>
      </w:r>
      <w:r w:rsidRPr="008A6734">
        <w:rPr>
          <w:lang w:val="fr-FR"/>
        </w:rPr>
        <w:t>précité, §</w:t>
      </w:r>
      <w:r>
        <w:rPr>
          <w:lang w:val="fr-FR"/>
        </w:rPr>
        <w:t> </w:t>
      </w:r>
      <w:r w:rsidRPr="008A6734">
        <w:rPr>
          <w:lang w:val="fr-FR"/>
        </w:rPr>
        <w:t>91, où la Cour a constaté que la Cour constitutionnelle belge avait dûment motivé son refus de poser des questions préjudicielles).</w:t>
      </w:r>
    </w:p>
    <w:p w:rsidR="001F4B22" w:rsidRPr="009556E4" w:rsidRDefault="001F4B22" w:rsidP="009556E4">
      <w:pPr>
        <w:pStyle w:val="ECHRPara"/>
        <w:rPr>
          <w:lang w:val="fr-FR"/>
        </w:rPr>
      </w:pPr>
      <w:r w:rsidRPr="008A6734">
        <w:rPr>
          <w:lang w:val="fr-FR"/>
        </w:rPr>
        <w:fldChar w:fldCharType="begin"/>
      </w:r>
      <w:r w:rsidRPr="008A6734">
        <w:rPr>
          <w:lang w:val="fr-FR"/>
        </w:rPr>
        <w:instrText xml:space="preserve"> SEQ level0 \*arabic </w:instrText>
      </w:r>
      <w:r w:rsidRPr="008A6734">
        <w:rPr>
          <w:lang w:val="fr-FR"/>
        </w:rPr>
        <w:fldChar w:fldCharType="separate"/>
      </w:r>
      <w:r>
        <w:rPr>
          <w:noProof/>
          <w:lang w:val="fr-FR"/>
        </w:rPr>
        <w:t>73</w:t>
      </w:r>
      <w:r w:rsidRPr="008A6734">
        <w:rPr>
          <w:lang w:val="fr-FR"/>
        </w:rPr>
        <w:fldChar w:fldCharType="end"/>
      </w:r>
      <w:r w:rsidRPr="008A6734">
        <w:rPr>
          <w:lang w:val="fr-FR"/>
        </w:rPr>
        <w:t>.  Ce constat suffit pour conclure qu</w:t>
      </w:r>
      <w:r>
        <w:rPr>
          <w:lang w:val="fr-FR"/>
        </w:rPr>
        <w:t>’</w:t>
      </w:r>
      <w:r w:rsidRPr="008A6734">
        <w:rPr>
          <w:lang w:val="fr-FR"/>
        </w:rPr>
        <w:t>il y a eu violation de l</w:t>
      </w:r>
      <w:r>
        <w:rPr>
          <w:lang w:val="fr-FR"/>
        </w:rPr>
        <w:t>’</w:t>
      </w:r>
      <w:r w:rsidRPr="008A6734">
        <w:rPr>
          <w:lang w:val="fr-FR"/>
        </w:rPr>
        <w:t>article 6 § 1 de la Convention.</w:t>
      </w:r>
    </w:p>
    <w:p w:rsidR="001F4B22" w:rsidRPr="00AD412E" w:rsidRDefault="001F4B22" w:rsidP="00C63990">
      <w:pPr>
        <w:pStyle w:val="ECHRHeading1"/>
        <w:rPr>
          <w:lang w:val="fr-FR"/>
        </w:rPr>
      </w:pPr>
      <w:r>
        <w:rPr>
          <w:lang w:val="fr-FR"/>
        </w:rPr>
        <w:t>III</w:t>
      </w:r>
      <w:r w:rsidRPr="00AD412E">
        <w:rPr>
          <w:lang w:val="fr-FR"/>
        </w:rPr>
        <w:t>.  SUR LES AUTRES VIOLATIONS ALLÉGUÉES</w:t>
      </w:r>
    </w:p>
    <w:p w:rsidR="001F4B22" w:rsidRPr="00300337" w:rsidRDefault="001F4B22" w:rsidP="00C63990">
      <w:pPr>
        <w:pStyle w:val="ECHRPara"/>
        <w:rPr>
          <w:lang w:val="fr-FR"/>
        </w:rPr>
      </w:pPr>
      <w:r>
        <w:rPr>
          <w:lang w:val="pt-BR"/>
        </w:rPr>
        <w:fldChar w:fldCharType="begin"/>
      </w:r>
      <w:r>
        <w:rPr>
          <w:lang w:val="pt-BR"/>
        </w:rPr>
        <w:instrText xml:space="preserve"> SEQ level0 \*arabic </w:instrText>
      </w:r>
      <w:r>
        <w:rPr>
          <w:lang w:val="pt-BR"/>
        </w:rPr>
        <w:fldChar w:fldCharType="separate"/>
      </w:r>
      <w:r>
        <w:rPr>
          <w:noProof/>
          <w:lang w:val="pt-BR"/>
        </w:rPr>
        <w:t>74</w:t>
      </w:r>
      <w:r>
        <w:rPr>
          <w:lang w:val="pt-BR"/>
        </w:rPr>
        <w:fldChar w:fldCharType="end"/>
      </w:r>
      <w:r>
        <w:rPr>
          <w:lang w:val="pt-BR"/>
        </w:rPr>
        <w:t>.  </w:t>
      </w:r>
      <w:r w:rsidRPr="00300337">
        <w:rPr>
          <w:lang w:val="fr-FR"/>
        </w:rPr>
        <w:t>Les requérants allèguent que les faits dénoncés sous l</w:t>
      </w:r>
      <w:r>
        <w:rPr>
          <w:lang w:val="fr-FR"/>
        </w:rPr>
        <w:t>’</w:t>
      </w:r>
      <w:r w:rsidRPr="00300337">
        <w:rPr>
          <w:lang w:val="fr-FR"/>
        </w:rPr>
        <w:t>angle de l</w:t>
      </w:r>
      <w:r>
        <w:rPr>
          <w:lang w:val="fr-FR"/>
        </w:rPr>
        <w:t>’</w:t>
      </w:r>
      <w:r w:rsidRPr="00300337">
        <w:rPr>
          <w:lang w:val="fr-FR"/>
        </w:rPr>
        <w:t xml:space="preserve">article </w:t>
      </w:r>
      <w:r>
        <w:rPr>
          <w:lang w:val="fr-FR"/>
        </w:rPr>
        <w:t>6</w:t>
      </w:r>
      <w:r w:rsidRPr="00300337">
        <w:rPr>
          <w:lang w:val="fr-FR"/>
        </w:rPr>
        <w:t xml:space="preserve"> de la Convention s</w:t>
      </w:r>
      <w:r>
        <w:rPr>
          <w:lang w:val="fr-FR"/>
        </w:rPr>
        <w:t>’</w:t>
      </w:r>
      <w:r w:rsidRPr="00300337">
        <w:rPr>
          <w:lang w:val="fr-FR"/>
        </w:rPr>
        <w:t>analysent également en un traitement discriminatoire et en une atteinte au droit au respect de leurs biens.</w:t>
      </w:r>
    </w:p>
    <w:p w:rsidR="001F4B22" w:rsidRPr="00300337" w:rsidRDefault="001F4B22" w:rsidP="00C63990">
      <w:pPr>
        <w:pStyle w:val="ECHRPara"/>
        <w:rPr>
          <w:lang w:val="fr-FR"/>
        </w:rPr>
      </w:pPr>
      <w:r w:rsidRPr="00300337">
        <w:rPr>
          <w:lang w:val="fr-FR"/>
        </w:rPr>
        <w:t>Ils invoquent l</w:t>
      </w:r>
      <w:r>
        <w:rPr>
          <w:lang w:val="fr-FR"/>
        </w:rPr>
        <w:t>’</w:t>
      </w:r>
      <w:r w:rsidRPr="00300337">
        <w:rPr>
          <w:lang w:val="fr-FR"/>
        </w:rPr>
        <w:t>article 14 de la Convention ainsi que l</w:t>
      </w:r>
      <w:r>
        <w:rPr>
          <w:lang w:val="fr-FR"/>
        </w:rPr>
        <w:t>’</w:t>
      </w:r>
      <w:r w:rsidRPr="00300337">
        <w:rPr>
          <w:lang w:val="fr-FR"/>
        </w:rPr>
        <w:t>article 1 du Protocole n</w:t>
      </w:r>
      <w:r w:rsidRPr="00300337">
        <w:rPr>
          <w:vertAlign w:val="superscript"/>
          <w:lang w:val="fr-FR"/>
        </w:rPr>
        <w:t>o</w:t>
      </w:r>
      <w:r w:rsidRPr="00300337">
        <w:rPr>
          <w:lang w:val="fr-FR"/>
        </w:rPr>
        <w:t xml:space="preserve"> 1 à la Convention. Ces dispositions se lisent ainsi :</w:t>
      </w:r>
    </w:p>
    <w:p w:rsidR="001F4B22" w:rsidRPr="009208FF" w:rsidRDefault="001F4B22" w:rsidP="0033215C">
      <w:pPr>
        <w:pStyle w:val="ECHRParaQuote"/>
        <w:keepNext/>
        <w:keepLines/>
        <w:ind w:left="0" w:firstLine="0"/>
        <w:jc w:val="center"/>
        <w:rPr>
          <w:b/>
          <w:lang w:val="fr-FR"/>
        </w:rPr>
      </w:pPr>
      <w:r w:rsidRPr="009208FF">
        <w:rPr>
          <w:b/>
          <w:lang w:val="fr-FR"/>
        </w:rPr>
        <w:t>Article 14</w:t>
      </w:r>
    </w:p>
    <w:p w:rsidR="001F4B22" w:rsidRPr="009208FF" w:rsidRDefault="001F4B22" w:rsidP="009208FF">
      <w:pPr>
        <w:pStyle w:val="ECHRParaQuote"/>
        <w:rPr>
          <w:lang w:val="fr-FR"/>
        </w:rPr>
      </w:pPr>
      <w:r w:rsidRPr="009208FF">
        <w:rPr>
          <w:lang w:val="fr-FR"/>
        </w:rPr>
        <w:t>« La jouissance des droits et libertés reconnus dans la (...) Convention doit être assurée, sans distinction aucune, fondée notamment sur le sexe, la race, la couleur, la langue, la religion, les opinions politiques ou toutes autres opinions, l</w:t>
      </w:r>
      <w:r>
        <w:rPr>
          <w:lang w:val="fr-FR"/>
        </w:rPr>
        <w:t>’</w:t>
      </w:r>
      <w:r w:rsidRPr="009208FF">
        <w:rPr>
          <w:lang w:val="fr-FR"/>
        </w:rPr>
        <w:t>origine nationale ou sociale, l</w:t>
      </w:r>
      <w:r>
        <w:rPr>
          <w:lang w:val="fr-FR"/>
        </w:rPr>
        <w:t>’</w:t>
      </w:r>
      <w:r w:rsidRPr="009208FF">
        <w:rPr>
          <w:lang w:val="fr-FR"/>
        </w:rPr>
        <w:t>appartenance à une minorité nationale, la fortune, la naissance ou toute autre situation. »</w:t>
      </w:r>
    </w:p>
    <w:p w:rsidR="001F4B22" w:rsidRPr="009208FF" w:rsidRDefault="001F4B22" w:rsidP="009208FF">
      <w:pPr>
        <w:pStyle w:val="ECHRParaQuote"/>
        <w:ind w:left="0" w:firstLine="0"/>
        <w:jc w:val="center"/>
        <w:rPr>
          <w:b/>
          <w:lang w:val="fr-FR"/>
        </w:rPr>
      </w:pPr>
      <w:r w:rsidRPr="009208FF">
        <w:rPr>
          <w:b/>
          <w:lang w:val="fr-FR"/>
        </w:rPr>
        <w:t>Article 1 du Protocole n</w:t>
      </w:r>
      <w:r w:rsidRPr="000B2C31">
        <w:rPr>
          <w:b/>
          <w:vertAlign w:val="superscript"/>
          <w:lang w:val="fr-FR"/>
        </w:rPr>
        <w:t>o</w:t>
      </w:r>
      <w:r w:rsidRPr="009208FF">
        <w:rPr>
          <w:b/>
          <w:lang w:val="fr-FR"/>
        </w:rPr>
        <w:t xml:space="preserve"> 1</w:t>
      </w:r>
    </w:p>
    <w:p w:rsidR="001F4B22" w:rsidRPr="009208FF" w:rsidRDefault="001F4B22">
      <w:pPr>
        <w:pStyle w:val="ECHRParaQuote"/>
        <w:rPr>
          <w:lang w:val="fr-FR"/>
        </w:rPr>
      </w:pPr>
      <w:r w:rsidRPr="009208FF">
        <w:rPr>
          <w:lang w:val="fr-FR"/>
        </w:rPr>
        <w:t>« Toute personne physique ou morale a droit au respect de ses biens. Nul ne peut être privé de sa propriété que pour cause d</w:t>
      </w:r>
      <w:r>
        <w:rPr>
          <w:lang w:val="fr-FR"/>
        </w:rPr>
        <w:t>’</w:t>
      </w:r>
      <w:r w:rsidRPr="009208FF">
        <w:rPr>
          <w:lang w:val="fr-FR"/>
        </w:rPr>
        <w:t>utilité publique et dans les conditions prévues par la loi et les principes généraux du droit international.</w:t>
      </w:r>
    </w:p>
    <w:p w:rsidR="001F4B22" w:rsidRDefault="001F4B22" w:rsidP="009208FF">
      <w:pPr>
        <w:pStyle w:val="ECHRParaQuote"/>
        <w:rPr>
          <w:lang w:val="fr-FR"/>
        </w:rPr>
      </w:pPr>
      <w:r w:rsidRPr="009208FF">
        <w:rPr>
          <w:lang w:val="fr-FR"/>
        </w:rPr>
        <w:t xml:space="preserve">Les dispositions précédentes ne portent pas atteinte au droit que possèdent les </w:t>
      </w:r>
      <w:r>
        <w:rPr>
          <w:lang w:val="fr-FR"/>
        </w:rPr>
        <w:t>É</w:t>
      </w:r>
      <w:r w:rsidRPr="009208FF">
        <w:rPr>
          <w:lang w:val="fr-FR"/>
        </w:rPr>
        <w:t>tats de mettre en vigueur les lois qu</w:t>
      </w:r>
      <w:r>
        <w:rPr>
          <w:lang w:val="fr-FR"/>
        </w:rPr>
        <w:t>’</w:t>
      </w:r>
      <w:r w:rsidRPr="009208FF">
        <w:rPr>
          <w:lang w:val="fr-FR"/>
        </w:rPr>
        <w:t>ils jugent nécessaires pour réglementer l</w:t>
      </w:r>
      <w:r>
        <w:rPr>
          <w:lang w:val="fr-FR"/>
        </w:rPr>
        <w:t>’</w:t>
      </w:r>
      <w:r w:rsidRPr="009208FF">
        <w:rPr>
          <w:lang w:val="fr-FR"/>
        </w:rPr>
        <w:t>usage des biens conformément à l</w:t>
      </w:r>
      <w:r>
        <w:rPr>
          <w:lang w:val="fr-FR"/>
        </w:rPr>
        <w:t>’</w:t>
      </w:r>
      <w:r w:rsidRPr="009208FF">
        <w:rPr>
          <w:lang w:val="fr-FR"/>
        </w:rPr>
        <w:t>intérêt général ou pour assurer le paiement des impôts ou d</w:t>
      </w:r>
      <w:r>
        <w:rPr>
          <w:lang w:val="fr-FR"/>
        </w:rPr>
        <w:t>’</w:t>
      </w:r>
      <w:r w:rsidRPr="009208FF">
        <w:rPr>
          <w:lang w:val="fr-FR"/>
        </w:rPr>
        <w:t>autres contributions ou des amendes. »</w:t>
      </w:r>
    </w:p>
    <w:p w:rsidR="001F4B22" w:rsidRDefault="001F4B22">
      <w:pPr>
        <w:pStyle w:val="ECHRHeading2"/>
        <w:rPr>
          <w:lang w:val="fr-FR"/>
        </w:rPr>
      </w:pPr>
      <w:r>
        <w:rPr>
          <w:lang w:val="fr-FR"/>
        </w:rPr>
        <w:t>A.  Arguments des parties</w:t>
      </w:r>
    </w:p>
    <w:p w:rsidR="001F4B22" w:rsidRPr="005F0A6A" w:rsidRDefault="001F4B22" w:rsidP="006C7A6D">
      <w:pPr>
        <w:pStyle w:val="ECHRHeading3"/>
        <w:rPr>
          <w:lang w:val="fr-FR"/>
        </w:rPr>
      </w:pPr>
      <w:r w:rsidRPr="005F0A6A">
        <w:rPr>
          <w:lang w:val="fr-FR"/>
        </w:rPr>
        <w:t>1.  Les requérants</w:t>
      </w:r>
    </w:p>
    <w:p w:rsidR="001F4B22" w:rsidRPr="005F0A6A" w:rsidRDefault="001F4B22" w:rsidP="006C7A6D">
      <w:pPr>
        <w:pStyle w:val="ECHRPara"/>
        <w:rPr>
          <w:lang w:val="fr-FR"/>
        </w:rPr>
      </w:pPr>
      <w:r w:rsidRPr="005F0A6A">
        <w:rPr>
          <w:lang w:val="fr-FR"/>
        </w:rPr>
        <w:fldChar w:fldCharType="begin"/>
      </w:r>
      <w:r w:rsidRPr="005F0A6A">
        <w:rPr>
          <w:lang w:val="fr-FR"/>
        </w:rPr>
        <w:instrText xml:space="preserve"> SEQ level0 \*arabic </w:instrText>
      </w:r>
      <w:r w:rsidRPr="005F0A6A">
        <w:rPr>
          <w:lang w:val="fr-FR"/>
        </w:rPr>
        <w:fldChar w:fldCharType="separate"/>
      </w:r>
      <w:r>
        <w:rPr>
          <w:noProof/>
          <w:lang w:val="fr-FR"/>
        </w:rPr>
        <w:t>75</w:t>
      </w:r>
      <w:r w:rsidRPr="005F0A6A">
        <w:rPr>
          <w:lang w:val="fr-FR"/>
        </w:rPr>
        <w:fldChar w:fldCharType="end"/>
      </w:r>
      <w:r w:rsidRPr="005F0A6A">
        <w:rPr>
          <w:lang w:val="fr-FR"/>
        </w:rPr>
        <w:t>.  Les requérants indiquent que, dans sa motivation, la Cour de cassation a cité un précédent (l</w:t>
      </w:r>
      <w:r>
        <w:rPr>
          <w:lang w:val="fr-FR"/>
        </w:rPr>
        <w:t>’</w:t>
      </w:r>
      <w:r w:rsidRPr="005F0A6A">
        <w:rPr>
          <w:lang w:val="fr-FR"/>
        </w:rPr>
        <w:t>arrêt n</w:t>
      </w:r>
      <w:r w:rsidRPr="005F0A6A">
        <w:rPr>
          <w:vertAlign w:val="superscript"/>
          <w:lang w:val="fr-FR"/>
        </w:rPr>
        <w:t>o</w:t>
      </w:r>
      <w:r w:rsidRPr="005F0A6A">
        <w:rPr>
          <w:lang w:val="fr-FR"/>
        </w:rPr>
        <w:t xml:space="preserve"> 3283 du 12 février 2008) qui serait allé dans le sens préconisé par les demandeurs. Ils s</w:t>
      </w:r>
      <w:r>
        <w:rPr>
          <w:lang w:val="fr-FR"/>
        </w:rPr>
        <w:t>’</w:t>
      </w:r>
      <w:r w:rsidRPr="005F0A6A">
        <w:rPr>
          <w:lang w:val="fr-FR"/>
        </w:rPr>
        <w:t>étonnent que, en dépit de cela, la haute juridiction italienne ait rejeté leur pourvoi, violant ainsi, selon eux, l</w:t>
      </w:r>
      <w:r>
        <w:rPr>
          <w:lang w:val="fr-FR"/>
        </w:rPr>
        <w:t>’</w:t>
      </w:r>
      <w:r w:rsidRPr="005F0A6A">
        <w:rPr>
          <w:lang w:val="fr-FR"/>
        </w:rPr>
        <w:t>article 14 de la Convention lu en combinaison avec l</w:t>
      </w:r>
      <w:r>
        <w:rPr>
          <w:lang w:val="fr-FR"/>
        </w:rPr>
        <w:t>’</w:t>
      </w:r>
      <w:r w:rsidRPr="005F0A6A">
        <w:rPr>
          <w:lang w:val="fr-FR"/>
        </w:rPr>
        <w:t>article 6 § 1.</w:t>
      </w:r>
    </w:p>
    <w:bookmarkStart w:id="20" w:name="projetloi679"/>
    <w:p w:rsidR="001F4B22" w:rsidRDefault="001F4B22" w:rsidP="006C7A6D">
      <w:pPr>
        <w:pStyle w:val="ECHRPara"/>
        <w:rPr>
          <w:lang w:val="fr-FR"/>
        </w:rPr>
      </w:pPr>
      <w:r w:rsidRPr="005F0A6A">
        <w:rPr>
          <w:lang w:val="fr-FR"/>
        </w:rPr>
        <w:fldChar w:fldCharType="begin"/>
      </w:r>
      <w:r w:rsidRPr="005F0A6A">
        <w:rPr>
          <w:lang w:val="fr-FR"/>
        </w:rPr>
        <w:instrText xml:space="preserve"> SEQ level0 \*arabic </w:instrText>
      </w:r>
      <w:r w:rsidRPr="005F0A6A">
        <w:rPr>
          <w:lang w:val="fr-FR"/>
        </w:rPr>
        <w:fldChar w:fldCharType="separate"/>
      </w:r>
      <w:r>
        <w:rPr>
          <w:noProof/>
          <w:lang w:val="fr-FR"/>
        </w:rPr>
        <w:t>76</w:t>
      </w:r>
      <w:r w:rsidRPr="005F0A6A">
        <w:rPr>
          <w:lang w:val="fr-FR"/>
        </w:rPr>
        <w:fldChar w:fldCharType="end"/>
      </w:r>
      <w:bookmarkEnd w:id="20"/>
      <w:r w:rsidRPr="005F0A6A">
        <w:rPr>
          <w:lang w:val="fr-FR"/>
        </w:rPr>
        <w:t>.  En outre, sous l</w:t>
      </w:r>
      <w:r>
        <w:rPr>
          <w:lang w:val="fr-FR"/>
        </w:rPr>
        <w:t>’</w:t>
      </w:r>
      <w:r w:rsidRPr="005F0A6A">
        <w:rPr>
          <w:lang w:val="fr-FR"/>
        </w:rPr>
        <w:t>angle de l</w:t>
      </w:r>
      <w:r>
        <w:rPr>
          <w:lang w:val="fr-FR"/>
        </w:rPr>
        <w:t>’</w:t>
      </w:r>
      <w:r w:rsidRPr="005F0A6A">
        <w:rPr>
          <w:lang w:val="fr-FR"/>
        </w:rPr>
        <w:t>article 1 du Protocole n</w:t>
      </w:r>
      <w:r w:rsidRPr="005F0A6A">
        <w:rPr>
          <w:vertAlign w:val="superscript"/>
          <w:lang w:val="fr-FR"/>
        </w:rPr>
        <w:t>o</w:t>
      </w:r>
      <w:r w:rsidRPr="005F0A6A">
        <w:rPr>
          <w:lang w:val="fr-FR"/>
        </w:rPr>
        <w:t xml:space="preserve"> 1 à la Convention, les requérants allèguent qu</w:t>
      </w:r>
      <w:r>
        <w:rPr>
          <w:lang w:val="fr-FR"/>
        </w:rPr>
        <w:t>’</w:t>
      </w:r>
      <w:r w:rsidRPr="005F0A6A">
        <w:rPr>
          <w:lang w:val="fr-FR"/>
        </w:rPr>
        <w:t>ils n</w:t>
      </w:r>
      <w:r>
        <w:rPr>
          <w:lang w:val="fr-FR"/>
        </w:rPr>
        <w:t>’</w:t>
      </w:r>
      <w:r w:rsidRPr="005F0A6A">
        <w:rPr>
          <w:lang w:val="fr-FR"/>
        </w:rPr>
        <w:t>ont pas pu obtenir les avantages économiques qui seraient reconnus par les directives communautaires et dont d</w:t>
      </w:r>
      <w:r>
        <w:rPr>
          <w:lang w:val="fr-FR"/>
        </w:rPr>
        <w:t>’</w:t>
      </w:r>
      <w:r w:rsidRPr="005F0A6A">
        <w:rPr>
          <w:lang w:val="fr-FR"/>
        </w:rPr>
        <w:t>autres médecins auraient bénéficié. Ils indiquent qu</w:t>
      </w:r>
      <w:r>
        <w:rPr>
          <w:lang w:val="fr-FR"/>
        </w:rPr>
        <w:t>’</w:t>
      </w:r>
      <w:r w:rsidRPr="005F0A6A">
        <w:rPr>
          <w:lang w:val="fr-FR"/>
        </w:rPr>
        <w:t>un projet de loi (n</w:t>
      </w:r>
      <w:r w:rsidRPr="005F0A6A">
        <w:rPr>
          <w:vertAlign w:val="superscript"/>
          <w:lang w:val="fr-FR"/>
        </w:rPr>
        <w:t>o</w:t>
      </w:r>
      <w:r w:rsidRPr="005F0A6A">
        <w:rPr>
          <w:lang w:val="fr-FR"/>
        </w:rPr>
        <w:t xml:space="preserve"> 679 de 2013) proposant de verser aux médecins</w:t>
      </w:r>
      <w:r>
        <w:rPr>
          <w:lang w:val="fr-FR"/>
        </w:rPr>
        <w:t xml:space="preserve"> inscrits dans un établissement de spécialisation entre 1983 et 1991 la somme de 13 000 EUR pour chaque annuité de cours est actuellement soumis à l’examen du Parlement. Ils soutiennent que l’éventuelle adoption de ce projet ne remédierait pas à leur situation au motif que leurs prétentions ont </w:t>
      </w:r>
      <w:r w:rsidRPr="000813D8">
        <w:rPr>
          <w:lang w:val="fr-FR"/>
        </w:rPr>
        <w:t xml:space="preserve">désormais été rejetées par un arrêt </w:t>
      </w:r>
      <w:r w:rsidRPr="0033215C">
        <w:rPr>
          <w:lang w:val="fr-FR"/>
        </w:rPr>
        <w:t>passé</w:t>
      </w:r>
      <w:r w:rsidRPr="000813D8">
        <w:rPr>
          <w:lang w:val="fr-FR"/>
        </w:rPr>
        <w:t xml:space="preserve"> </w:t>
      </w:r>
      <w:r w:rsidRPr="0033215C">
        <w:rPr>
          <w:lang w:val="fr-FR"/>
        </w:rPr>
        <w:t>en force de</w:t>
      </w:r>
      <w:r w:rsidRPr="000813D8">
        <w:rPr>
          <w:lang w:val="fr-FR"/>
        </w:rPr>
        <w:t xml:space="preserve"> chose jugée.</w:t>
      </w:r>
    </w:p>
    <w:p w:rsidR="001F4B22" w:rsidRPr="0017075A" w:rsidRDefault="001F4B22" w:rsidP="006C7A6D">
      <w:pPr>
        <w:pStyle w:val="ECHRHeading3"/>
        <w:rPr>
          <w:lang w:val="fr-FR"/>
        </w:rPr>
      </w:pPr>
      <w:r w:rsidRPr="0017075A">
        <w:rPr>
          <w:lang w:val="fr-FR"/>
        </w:rPr>
        <w:t>2.  Le Gouvernement</w:t>
      </w:r>
    </w:p>
    <w:p w:rsidR="001F4B22" w:rsidRDefault="001F4B22" w:rsidP="00C63990">
      <w:pPr>
        <w:pStyle w:val="ECHRPara"/>
        <w:rPr>
          <w:lang w:val="fr-FR"/>
        </w:rPr>
      </w:pPr>
      <w:r w:rsidRPr="0017075A">
        <w:rPr>
          <w:lang w:val="fr-FR"/>
        </w:rPr>
        <w:fldChar w:fldCharType="begin"/>
      </w:r>
      <w:r w:rsidRPr="0017075A">
        <w:rPr>
          <w:lang w:val="fr-FR"/>
        </w:rPr>
        <w:instrText xml:space="preserve"> SEQ level0 \*arabic </w:instrText>
      </w:r>
      <w:r w:rsidRPr="0017075A">
        <w:rPr>
          <w:lang w:val="fr-FR"/>
        </w:rPr>
        <w:fldChar w:fldCharType="separate"/>
      </w:r>
      <w:r>
        <w:rPr>
          <w:noProof/>
          <w:lang w:val="fr-FR"/>
        </w:rPr>
        <w:t>77</w:t>
      </w:r>
      <w:r w:rsidRPr="0017075A">
        <w:rPr>
          <w:lang w:val="fr-FR"/>
        </w:rPr>
        <w:fldChar w:fldCharType="end"/>
      </w:r>
      <w:r w:rsidRPr="0017075A">
        <w:rPr>
          <w:lang w:val="fr-FR"/>
        </w:rPr>
        <w:t>.  Le Gouvernement estime que les requérants n</w:t>
      </w:r>
      <w:r>
        <w:rPr>
          <w:lang w:val="fr-FR"/>
        </w:rPr>
        <w:t>’</w:t>
      </w:r>
      <w:r w:rsidRPr="0017075A">
        <w:rPr>
          <w:lang w:val="fr-FR"/>
        </w:rPr>
        <w:t>ont fait l</w:t>
      </w:r>
      <w:r>
        <w:rPr>
          <w:lang w:val="fr-FR"/>
        </w:rPr>
        <w:t>’</w:t>
      </w:r>
      <w:r w:rsidRPr="0017075A">
        <w:rPr>
          <w:lang w:val="fr-FR"/>
        </w:rPr>
        <w:t>objet d</w:t>
      </w:r>
      <w:r>
        <w:rPr>
          <w:lang w:val="fr-FR"/>
        </w:rPr>
        <w:t>’</w:t>
      </w:r>
      <w:r w:rsidRPr="0017075A">
        <w:rPr>
          <w:lang w:val="fr-FR"/>
        </w:rPr>
        <w:t>aucune discrimination et qu</w:t>
      </w:r>
      <w:r>
        <w:rPr>
          <w:lang w:val="fr-FR"/>
        </w:rPr>
        <w:t>’</w:t>
      </w:r>
      <w:r w:rsidRPr="0017075A">
        <w:rPr>
          <w:lang w:val="fr-FR"/>
        </w:rPr>
        <w:t>ils n</w:t>
      </w:r>
      <w:r>
        <w:rPr>
          <w:lang w:val="fr-FR"/>
        </w:rPr>
        <w:t>’</w:t>
      </w:r>
      <w:r w:rsidRPr="0017075A">
        <w:rPr>
          <w:lang w:val="fr-FR"/>
        </w:rPr>
        <w:t>ont subi aucune ingérence dans leur droit au respect de leurs biens. Il soutient à cet égard qu</w:t>
      </w:r>
      <w:r>
        <w:rPr>
          <w:lang w:val="fr-FR"/>
        </w:rPr>
        <w:t>’</w:t>
      </w:r>
      <w:r w:rsidRPr="0017075A">
        <w:rPr>
          <w:lang w:val="fr-FR"/>
        </w:rPr>
        <w:t>une motivation explicite quant au refus de poser la question préjudicielle à la CJCE n</w:t>
      </w:r>
      <w:r>
        <w:rPr>
          <w:lang w:val="fr-FR"/>
        </w:rPr>
        <w:t>’</w:t>
      </w:r>
      <w:r w:rsidRPr="0017075A">
        <w:rPr>
          <w:lang w:val="fr-FR"/>
        </w:rPr>
        <w:t>aurait pas changé le fond de la décision rendue par la Cour de cassation. Il en déduit que les griefs des requérants tirés de l</w:t>
      </w:r>
      <w:r>
        <w:rPr>
          <w:lang w:val="fr-FR"/>
        </w:rPr>
        <w:t>’</w:t>
      </w:r>
      <w:r w:rsidRPr="0017075A">
        <w:rPr>
          <w:lang w:val="fr-FR"/>
        </w:rPr>
        <w:t>article 14 de la Convention et de l</w:t>
      </w:r>
      <w:r>
        <w:rPr>
          <w:lang w:val="fr-FR"/>
        </w:rPr>
        <w:t>’</w:t>
      </w:r>
      <w:r w:rsidRPr="0017075A">
        <w:rPr>
          <w:lang w:val="fr-FR"/>
        </w:rPr>
        <w:t>article 1 du Protocole n</w:t>
      </w:r>
      <w:r w:rsidRPr="0017075A">
        <w:rPr>
          <w:vertAlign w:val="superscript"/>
          <w:lang w:val="fr-FR"/>
        </w:rPr>
        <w:t>o</w:t>
      </w:r>
      <w:r w:rsidRPr="0017075A">
        <w:rPr>
          <w:lang w:val="fr-FR"/>
        </w:rPr>
        <w:t xml:space="preserve"> 1 devraient être déclarés irrecevables pour incompatibilité </w:t>
      </w:r>
      <w:r w:rsidRPr="0017075A">
        <w:rPr>
          <w:i/>
          <w:lang w:val="fr-FR"/>
        </w:rPr>
        <w:t xml:space="preserve">ratione personae </w:t>
      </w:r>
      <w:r w:rsidRPr="0017075A">
        <w:rPr>
          <w:lang w:val="fr-FR"/>
        </w:rPr>
        <w:t>avec les dispositions de la Convention.</w:t>
      </w:r>
    </w:p>
    <w:p w:rsidR="001F4B22" w:rsidRPr="0017075A" w:rsidRDefault="001F4B22" w:rsidP="00C63990">
      <w:pPr>
        <w:pStyle w:val="ECHRPara"/>
        <w:rPr>
          <w:lang w:val="fr-FR"/>
        </w:rPr>
      </w:pPr>
      <w:r w:rsidRPr="0017075A">
        <w:rPr>
          <w:lang w:val="fr-FR"/>
        </w:rPr>
        <w:fldChar w:fldCharType="begin"/>
      </w:r>
      <w:r w:rsidRPr="0017075A">
        <w:rPr>
          <w:lang w:val="fr-FR"/>
        </w:rPr>
        <w:instrText xml:space="preserve"> SEQ level0 \*arabic </w:instrText>
      </w:r>
      <w:r w:rsidRPr="0017075A">
        <w:rPr>
          <w:lang w:val="fr-FR"/>
        </w:rPr>
        <w:fldChar w:fldCharType="separate"/>
      </w:r>
      <w:r>
        <w:rPr>
          <w:noProof/>
          <w:lang w:val="fr-FR"/>
        </w:rPr>
        <w:t>78</w:t>
      </w:r>
      <w:r w:rsidRPr="0017075A">
        <w:rPr>
          <w:lang w:val="fr-FR"/>
        </w:rPr>
        <w:fldChar w:fldCharType="end"/>
      </w:r>
      <w:r w:rsidRPr="0017075A">
        <w:rPr>
          <w:lang w:val="fr-FR"/>
        </w:rPr>
        <w:t>.  Ensuite, le Gouvernement indique que, dans le système juridique italien, un pourvoi en cassation ne peut porter que sur des questions de droit. Il précise que, en l</w:t>
      </w:r>
      <w:r>
        <w:rPr>
          <w:lang w:val="fr-FR"/>
        </w:rPr>
        <w:t>’</w:t>
      </w:r>
      <w:r w:rsidRPr="0017075A">
        <w:rPr>
          <w:lang w:val="fr-FR"/>
        </w:rPr>
        <w:t>espèce, la haute juridiction italienne n</w:t>
      </w:r>
      <w:r>
        <w:rPr>
          <w:lang w:val="fr-FR"/>
        </w:rPr>
        <w:t>’</w:t>
      </w:r>
      <w:r w:rsidRPr="0017075A">
        <w:rPr>
          <w:lang w:val="fr-FR"/>
        </w:rPr>
        <w:t>était pas appelée à trancher la question de savoir si les requérants avaient droit à dédommagement, mais seulement à se prononcer sur le point de savoir si le pourvoi contre l</w:t>
      </w:r>
      <w:r>
        <w:rPr>
          <w:lang w:val="fr-FR"/>
        </w:rPr>
        <w:t>’</w:t>
      </w:r>
      <w:r w:rsidRPr="0017075A">
        <w:rPr>
          <w:lang w:val="fr-FR"/>
        </w:rPr>
        <w:t>arrêt d</w:t>
      </w:r>
      <w:r>
        <w:rPr>
          <w:lang w:val="fr-FR"/>
        </w:rPr>
        <w:t>’</w:t>
      </w:r>
      <w:r w:rsidRPr="0017075A">
        <w:rPr>
          <w:lang w:val="fr-FR"/>
        </w:rPr>
        <w:t>appel était ou non fondé. La tâche de la Cour de cassation n</w:t>
      </w:r>
      <w:r>
        <w:rPr>
          <w:lang w:val="fr-FR"/>
        </w:rPr>
        <w:t>’</w:t>
      </w:r>
      <w:r w:rsidRPr="0017075A">
        <w:rPr>
          <w:lang w:val="fr-FR"/>
        </w:rPr>
        <w:t>aurait donc pas été celle d</w:t>
      </w:r>
      <w:r>
        <w:rPr>
          <w:lang w:val="fr-FR"/>
        </w:rPr>
        <w:t>’</w:t>
      </w:r>
      <w:r w:rsidRPr="0017075A">
        <w:rPr>
          <w:lang w:val="fr-FR"/>
        </w:rPr>
        <w:t xml:space="preserve">éviter toute discrimination </w:t>
      </w:r>
      <w:r w:rsidRPr="0017075A">
        <w:rPr>
          <w:i/>
          <w:lang w:val="fr-FR"/>
        </w:rPr>
        <w:t>de facto</w:t>
      </w:r>
      <w:r w:rsidRPr="0017075A">
        <w:rPr>
          <w:lang w:val="fr-FR"/>
        </w:rPr>
        <w:t>. Le Gouvernement ajoute que, même si le système italien n</w:t>
      </w:r>
      <w:r>
        <w:rPr>
          <w:lang w:val="fr-FR"/>
        </w:rPr>
        <w:t>’</w:t>
      </w:r>
      <w:r w:rsidRPr="0017075A">
        <w:rPr>
          <w:lang w:val="fr-FR"/>
        </w:rPr>
        <w:t xml:space="preserve">est pas un système de </w:t>
      </w:r>
      <w:r w:rsidRPr="0017075A">
        <w:rPr>
          <w:i/>
          <w:lang w:val="fr-FR"/>
        </w:rPr>
        <w:t>common law</w:t>
      </w:r>
      <w:r w:rsidRPr="0017075A">
        <w:rPr>
          <w:lang w:val="fr-FR"/>
        </w:rPr>
        <w:t xml:space="preserve"> fondé sur le principe </w:t>
      </w:r>
      <w:r w:rsidRPr="0017075A">
        <w:rPr>
          <w:i/>
          <w:lang w:val="fr-FR"/>
        </w:rPr>
        <w:t>stare decisis</w:t>
      </w:r>
      <w:r w:rsidRPr="0017075A">
        <w:rPr>
          <w:lang w:val="fr-FR"/>
        </w:rPr>
        <w:t>, dans la présente affaire la Cour de cassation ne s</w:t>
      </w:r>
      <w:r>
        <w:rPr>
          <w:lang w:val="fr-FR"/>
        </w:rPr>
        <w:t>’</w:t>
      </w:r>
      <w:r w:rsidRPr="0017075A">
        <w:rPr>
          <w:lang w:val="fr-FR"/>
        </w:rPr>
        <w:t>est pas écartée de sa jurisprudence bien établie, mais qu</w:t>
      </w:r>
      <w:r>
        <w:rPr>
          <w:lang w:val="fr-FR"/>
        </w:rPr>
        <w:t>’</w:t>
      </w:r>
      <w:r w:rsidRPr="0017075A">
        <w:rPr>
          <w:lang w:val="fr-FR"/>
        </w:rPr>
        <w:t>elle a conclu au rejet du pourvoi sur la base de la qualification juridique de la demande formulée par les requérants en appel.</w:t>
      </w:r>
    </w:p>
    <w:p w:rsidR="001F4B22" w:rsidRDefault="001F4B22">
      <w:pPr>
        <w:pStyle w:val="ECHRHeading2"/>
        <w:rPr>
          <w:lang w:val="pt-BR"/>
        </w:rPr>
      </w:pPr>
      <w:r>
        <w:rPr>
          <w:lang w:val="pt-BR"/>
        </w:rPr>
        <w:t>B.  Appréciation de la Cour</w:t>
      </w:r>
    </w:p>
    <w:bookmarkStart w:id="21" w:name="ragionamentoart14"/>
    <w:p w:rsidR="001F4B22" w:rsidRDefault="001F4B22" w:rsidP="006C7A6D">
      <w:pPr>
        <w:pStyle w:val="ECHRPara"/>
        <w:rPr>
          <w:lang w:val="fr-FR"/>
        </w:rPr>
      </w:pPr>
      <w:r w:rsidRPr="0033215C">
        <w:rPr>
          <w:lang w:val="fr-FR"/>
        </w:rPr>
        <w:fldChar w:fldCharType="begin"/>
      </w:r>
      <w:r w:rsidRPr="0033215C">
        <w:rPr>
          <w:lang w:val="fr-FR"/>
        </w:rPr>
        <w:instrText xml:space="preserve"> SEQ level0 \*arabic </w:instrText>
      </w:r>
      <w:r w:rsidRPr="0033215C">
        <w:rPr>
          <w:lang w:val="fr-FR"/>
        </w:rPr>
        <w:fldChar w:fldCharType="separate"/>
      </w:r>
      <w:r>
        <w:rPr>
          <w:noProof/>
          <w:lang w:val="fr-FR"/>
        </w:rPr>
        <w:t>79</w:t>
      </w:r>
      <w:r w:rsidRPr="0033215C">
        <w:rPr>
          <w:lang w:val="fr-FR"/>
        </w:rPr>
        <w:fldChar w:fldCharType="end"/>
      </w:r>
      <w:bookmarkEnd w:id="21"/>
      <w:r w:rsidRPr="0033215C">
        <w:rPr>
          <w:lang w:val="fr-FR"/>
        </w:rPr>
        <w:t>.  La Cour observe que les griefs des requérants portent en substance sur le rejet de leur demande de dédommagement. Celle-ci a été écartée car, faisant application de leur droit d</w:t>
      </w:r>
      <w:r>
        <w:rPr>
          <w:lang w:val="fr-FR"/>
        </w:rPr>
        <w:t>’</w:t>
      </w:r>
      <w:r w:rsidRPr="0033215C">
        <w:rPr>
          <w:lang w:val="fr-FR"/>
        </w:rPr>
        <w:t>apprécier les faits et de le</w:t>
      </w:r>
      <w:r>
        <w:rPr>
          <w:lang w:val="fr-FR"/>
        </w:rPr>
        <w:t>s</w:t>
      </w:r>
      <w:r w:rsidRPr="0033215C">
        <w:rPr>
          <w:lang w:val="fr-FR"/>
        </w:rPr>
        <w:t xml:space="preserve"> caractériser en droit, les juridictions italiennes ont estimé que les requérants n</w:t>
      </w:r>
      <w:r>
        <w:rPr>
          <w:lang w:val="fr-FR"/>
        </w:rPr>
        <w:t>’</w:t>
      </w:r>
      <w:r w:rsidRPr="0033215C">
        <w:rPr>
          <w:lang w:val="fr-FR"/>
        </w:rPr>
        <w:t>avaient pas demandé la réparation du préjudice découlant de la perte des chances d</w:t>
      </w:r>
      <w:r>
        <w:rPr>
          <w:lang w:val="fr-FR"/>
        </w:rPr>
        <w:t>’</w:t>
      </w:r>
      <w:r w:rsidRPr="0033215C">
        <w:rPr>
          <w:lang w:val="fr-FR"/>
        </w:rPr>
        <w:t>obtenir les bénéfices prévus par les directives communautaires n</w:t>
      </w:r>
      <w:r w:rsidRPr="005C6306">
        <w:rPr>
          <w:vertAlign w:val="superscript"/>
          <w:lang w:val="fr-FR"/>
        </w:rPr>
        <w:t>os</w:t>
      </w:r>
      <w:r w:rsidRPr="005C6306">
        <w:rPr>
          <w:lang w:val="fr-FR"/>
        </w:rPr>
        <w:t xml:space="preserve"> 363 du 16 juin 1975 et 82 du 26 janvier 1976. En particulier, selon la Cour de cassation, les </w:t>
      </w:r>
      <w:r>
        <w:rPr>
          <w:lang w:val="fr-FR"/>
        </w:rPr>
        <w:t>intéressé</w:t>
      </w:r>
      <w:r w:rsidRPr="005C6306">
        <w:rPr>
          <w:lang w:val="fr-FR"/>
        </w:rPr>
        <w:t>s s</w:t>
      </w:r>
      <w:r>
        <w:rPr>
          <w:lang w:val="fr-FR"/>
        </w:rPr>
        <w:t>’</w:t>
      </w:r>
      <w:r w:rsidRPr="005C6306">
        <w:rPr>
          <w:lang w:val="fr-FR"/>
        </w:rPr>
        <w:t xml:space="preserve">étaient bornés à soutenir que le préjudice découlant du retard dans la transposition des directives litigieuses était </w:t>
      </w:r>
      <w:r w:rsidRPr="005C6306">
        <w:rPr>
          <w:i/>
          <w:lang w:val="fr-FR"/>
        </w:rPr>
        <w:t xml:space="preserve">in re ipsa </w:t>
      </w:r>
      <w:r w:rsidRPr="005C6306">
        <w:rPr>
          <w:lang w:val="fr-FR"/>
        </w:rPr>
        <w:t>et que le décret législatif n</w:t>
      </w:r>
      <w:r w:rsidRPr="000B2C31">
        <w:rPr>
          <w:vertAlign w:val="superscript"/>
          <w:lang w:val="fr-FR"/>
        </w:rPr>
        <w:t>o</w:t>
      </w:r>
      <w:r w:rsidRPr="005C6306">
        <w:rPr>
          <w:lang w:val="fr-FR"/>
        </w:rPr>
        <w:t xml:space="preserve"> 257 de 1991 avait créé une discrimination entre les médecins qui avaient suivi des cours de spécialisation avant son entrée en vigueur et ceux qui les avaient suivis </w:t>
      </w:r>
      <w:r>
        <w:rPr>
          <w:lang w:val="fr-FR"/>
        </w:rPr>
        <w:t>après celle-ci</w:t>
      </w:r>
      <w:r w:rsidRPr="005C6306">
        <w:rPr>
          <w:lang w:val="fr-FR"/>
        </w:rPr>
        <w:t xml:space="preserve"> (paragraphe</w:t>
      </w:r>
      <w:r>
        <w:rPr>
          <w:lang w:val="fr-FR"/>
        </w:rPr>
        <w:t> </w:t>
      </w:r>
      <w:fldSimple w:instr=" REF CCasspasdommagespecifique \h  \* MERGEFORMAT ">
        <w:r>
          <w:rPr>
            <w:noProof/>
            <w:lang w:val="fr-FR"/>
          </w:rPr>
          <w:t>26</w:t>
        </w:r>
      </w:fldSimple>
      <w:r>
        <w:rPr>
          <w:lang w:val="fr-FR"/>
        </w:rPr>
        <w:t xml:space="preserve"> ci-dessus)</w:t>
      </w:r>
      <w:r w:rsidRPr="00790333">
        <w:rPr>
          <w:lang w:val="fr-FR"/>
        </w:rPr>
        <w:t>.</w:t>
      </w:r>
    </w:p>
    <w:bookmarkStart w:id="22" w:name="ragionamentoart14bis"/>
    <w:p w:rsidR="001F4B22" w:rsidRDefault="001F4B22" w:rsidP="006C7A6D">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80</w:t>
      </w:r>
      <w:r>
        <w:rPr>
          <w:lang w:val="fr-FR"/>
        </w:rPr>
        <w:fldChar w:fldCharType="end"/>
      </w:r>
      <w:bookmarkEnd w:id="22"/>
      <w:r>
        <w:rPr>
          <w:lang w:val="fr-FR"/>
        </w:rPr>
        <w:t>.  À supposer même que l’article 14 de la Convention trouve à s’appliquer en l’espèce, la Cour ne décèle dans l’interprétation que la haute juridiction italienne a donnée à la demande des requérants aucune apparence de violation du droit des intéressés au respect de leurs biens. En outre, les requérants n’ont pas démontré avoir été traités différemment d’autres personnes qui auraient introduit une demande identique ou analogue.</w:t>
      </w:r>
    </w:p>
    <w:p w:rsidR="001F4B22" w:rsidRPr="006C7A6D" w:rsidRDefault="001F4B22" w:rsidP="004F3F23">
      <w:pPr>
        <w:pStyle w:val="ECHRPara"/>
        <w:rPr>
          <w:lang w:val="pt-BR"/>
        </w:rPr>
      </w:pPr>
      <w:r>
        <w:rPr>
          <w:lang w:val="fr-FR"/>
        </w:rPr>
        <w:fldChar w:fldCharType="begin"/>
      </w:r>
      <w:r>
        <w:rPr>
          <w:lang w:val="fr-FR"/>
        </w:rPr>
        <w:instrText xml:space="preserve"> SEQ level0 \*arabic </w:instrText>
      </w:r>
      <w:r>
        <w:rPr>
          <w:lang w:val="fr-FR"/>
        </w:rPr>
        <w:fldChar w:fldCharType="separate"/>
      </w:r>
      <w:r>
        <w:rPr>
          <w:noProof/>
          <w:lang w:val="fr-FR"/>
        </w:rPr>
        <w:t>81</w:t>
      </w:r>
      <w:r>
        <w:rPr>
          <w:lang w:val="fr-FR"/>
        </w:rPr>
        <w:fldChar w:fldCharType="end"/>
      </w:r>
      <w:r>
        <w:rPr>
          <w:lang w:val="fr-FR"/>
        </w:rPr>
        <w:t>.  </w:t>
      </w:r>
      <w:r w:rsidRPr="004F3F23">
        <w:rPr>
          <w:snapToGrid w:val="0"/>
          <w:lang w:val="fr-FR"/>
        </w:rPr>
        <w:t>Il s</w:t>
      </w:r>
      <w:r>
        <w:rPr>
          <w:snapToGrid w:val="0"/>
          <w:lang w:val="fr-FR"/>
        </w:rPr>
        <w:t>’</w:t>
      </w:r>
      <w:r w:rsidRPr="004F3F23">
        <w:rPr>
          <w:snapToGrid w:val="0"/>
          <w:lang w:val="fr-FR"/>
        </w:rPr>
        <w:t>ensuit que ce</w:t>
      </w:r>
      <w:r>
        <w:rPr>
          <w:snapToGrid w:val="0"/>
          <w:lang w:val="fr-FR"/>
        </w:rPr>
        <w:t>s</w:t>
      </w:r>
      <w:r w:rsidRPr="004F3F23">
        <w:rPr>
          <w:snapToGrid w:val="0"/>
          <w:lang w:val="fr-FR"/>
        </w:rPr>
        <w:t xml:space="preserve"> grief</w:t>
      </w:r>
      <w:r>
        <w:rPr>
          <w:snapToGrid w:val="0"/>
          <w:lang w:val="fr-FR"/>
        </w:rPr>
        <w:t>s</w:t>
      </w:r>
      <w:r w:rsidRPr="004F3F23">
        <w:rPr>
          <w:snapToGrid w:val="0"/>
          <w:lang w:val="fr-FR"/>
        </w:rPr>
        <w:t xml:space="preserve"> s</w:t>
      </w:r>
      <w:r>
        <w:rPr>
          <w:snapToGrid w:val="0"/>
          <w:lang w:val="fr-FR"/>
        </w:rPr>
        <w:t>on</w:t>
      </w:r>
      <w:r w:rsidRPr="004F3F23">
        <w:rPr>
          <w:snapToGrid w:val="0"/>
          <w:lang w:val="fr-FR"/>
        </w:rPr>
        <w:t>t manifestement mal fondé</w:t>
      </w:r>
      <w:r>
        <w:rPr>
          <w:snapToGrid w:val="0"/>
          <w:lang w:val="fr-FR"/>
        </w:rPr>
        <w:t>s</w:t>
      </w:r>
      <w:r w:rsidRPr="004F3F23">
        <w:rPr>
          <w:snapToGrid w:val="0"/>
          <w:lang w:val="fr-FR"/>
        </w:rPr>
        <w:t xml:space="preserve"> et </w:t>
      </w:r>
      <w:r>
        <w:rPr>
          <w:snapToGrid w:val="0"/>
          <w:lang w:val="fr-FR"/>
        </w:rPr>
        <w:t xml:space="preserve">qu’ils </w:t>
      </w:r>
      <w:r w:rsidRPr="004F3F23">
        <w:rPr>
          <w:snapToGrid w:val="0"/>
          <w:lang w:val="fr-FR"/>
        </w:rPr>
        <w:t>doi</w:t>
      </w:r>
      <w:r>
        <w:rPr>
          <w:snapToGrid w:val="0"/>
          <w:lang w:val="fr-FR"/>
        </w:rPr>
        <w:t>ven</w:t>
      </w:r>
      <w:r w:rsidRPr="004F3F23">
        <w:rPr>
          <w:snapToGrid w:val="0"/>
          <w:lang w:val="fr-FR"/>
        </w:rPr>
        <w:t>t être rejeté</w:t>
      </w:r>
      <w:r>
        <w:rPr>
          <w:snapToGrid w:val="0"/>
          <w:lang w:val="fr-FR"/>
        </w:rPr>
        <w:t>s,</w:t>
      </w:r>
      <w:r w:rsidRPr="004F3F23">
        <w:rPr>
          <w:snapToGrid w:val="0"/>
          <w:lang w:val="fr-FR"/>
        </w:rPr>
        <w:t xml:space="preserve"> en application de l</w:t>
      </w:r>
      <w:r>
        <w:rPr>
          <w:snapToGrid w:val="0"/>
          <w:lang w:val="fr-FR"/>
        </w:rPr>
        <w:t>’</w:t>
      </w:r>
      <w:r w:rsidRPr="004F3F23">
        <w:rPr>
          <w:snapToGrid w:val="0"/>
          <w:lang w:val="fr-FR"/>
        </w:rPr>
        <w:t>article 35 §§ 3 </w:t>
      </w:r>
      <w:r w:rsidRPr="004F3F23">
        <w:rPr>
          <w:lang w:val="fr-FR"/>
        </w:rPr>
        <w:t xml:space="preserve">a) </w:t>
      </w:r>
      <w:r w:rsidRPr="004F3F23">
        <w:rPr>
          <w:snapToGrid w:val="0"/>
          <w:lang w:val="fr-FR"/>
        </w:rPr>
        <w:t>et 4 de la Convention.</w:t>
      </w:r>
    </w:p>
    <w:p w:rsidR="001F4B22" w:rsidRPr="00AD412E" w:rsidRDefault="001F4B22" w:rsidP="00C63990">
      <w:pPr>
        <w:pStyle w:val="ECHRHeading1"/>
        <w:rPr>
          <w:lang w:val="fr-FR"/>
        </w:rPr>
      </w:pPr>
      <w:r>
        <w:rPr>
          <w:lang w:val="pt-BR"/>
        </w:rPr>
        <w:t>IV</w:t>
      </w:r>
      <w:r w:rsidRPr="00D42AFF">
        <w:rPr>
          <w:lang w:val="pt-BR"/>
        </w:rPr>
        <w:t>.  </w:t>
      </w:r>
      <w:r w:rsidRPr="00AD412E">
        <w:rPr>
          <w:lang w:val="fr-FR"/>
        </w:rPr>
        <w:t>SUR L</w:t>
      </w:r>
      <w:r>
        <w:rPr>
          <w:lang w:val="fr-FR"/>
        </w:rPr>
        <w:t>’</w:t>
      </w:r>
      <w:r w:rsidRPr="00AD412E">
        <w:rPr>
          <w:lang w:val="fr-FR"/>
        </w:rPr>
        <w:t>APPLICATION DE L</w:t>
      </w:r>
      <w:r>
        <w:rPr>
          <w:lang w:val="fr-FR"/>
        </w:rPr>
        <w:t>’</w:t>
      </w:r>
      <w:r w:rsidRPr="00AD412E">
        <w:rPr>
          <w:lang w:val="fr-FR"/>
        </w:rPr>
        <w:t>ARTICLE 41 DE LA CONVENTION</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82</w:t>
      </w:r>
      <w:r>
        <w:rPr>
          <w:lang w:val="fr-FR"/>
        </w:rPr>
        <w:fldChar w:fldCharType="end"/>
      </w:r>
      <w:r w:rsidRPr="00AD412E">
        <w:rPr>
          <w:lang w:val="fr-FR"/>
        </w:rPr>
        <w:t>.  Aux termes de l</w:t>
      </w:r>
      <w:r>
        <w:rPr>
          <w:lang w:val="fr-FR"/>
        </w:rPr>
        <w:t>’</w:t>
      </w:r>
      <w:r w:rsidRPr="00AD412E">
        <w:rPr>
          <w:lang w:val="fr-FR"/>
        </w:rPr>
        <w:t>article 41 de la Convention,</w:t>
      </w:r>
    </w:p>
    <w:p w:rsidR="001F4B22" w:rsidRPr="00AD412E" w:rsidRDefault="001F4B22" w:rsidP="00E77CB3">
      <w:pPr>
        <w:pStyle w:val="ECHRParaQuote"/>
        <w:keepNext/>
        <w:keepLines/>
        <w:rPr>
          <w:lang w:val="fr-FR"/>
        </w:rPr>
      </w:pPr>
      <w:r w:rsidRPr="00AD412E">
        <w:rPr>
          <w:lang w:val="fr-FR"/>
        </w:rPr>
        <w:t>« Si la Cour déclare qu</w:t>
      </w:r>
      <w:r>
        <w:rPr>
          <w:lang w:val="fr-FR"/>
        </w:rPr>
        <w:t>’</w:t>
      </w:r>
      <w:r w:rsidRPr="00AD412E">
        <w:rPr>
          <w:lang w:val="fr-FR"/>
        </w:rPr>
        <w:t>il y a eu violation de la Convention ou de ses Protocoles, et si le droit interne de la Haute Partie contractante ne permet d</w:t>
      </w:r>
      <w:r>
        <w:rPr>
          <w:lang w:val="fr-FR"/>
        </w:rPr>
        <w:t>’</w:t>
      </w:r>
      <w:r w:rsidRPr="00AD412E">
        <w:rPr>
          <w:lang w:val="fr-FR"/>
        </w:rPr>
        <w:t>effacer qu</w:t>
      </w:r>
      <w:r>
        <w:rPr>
          <w:lang w:val="fr-FR"/>
        </w:rPr>
        <w:t>’</w:t>
      </w:r>
      <w:r w:rsidRPr="00AD412E">
        <w:rPr>
          <w:lang w:val="fr-FR"/>
        </w:rPr>
        <w:t>imparfaitement les conséquences de cette violation, la Cour accorde à la partie lésée, s</w:t>
      </w:r>
      <w:r>
        <w:rPr>
          <w:lang w:val="fr-FR"/>
        </w:rPr>
        <w:t>’</w:t>
      </w:r>
      <w:r w:rsidRPr="00AD412E">
        <w:rPr>
          <w:lang w:val="fr-FR"/>
        </w:rPr>
        <w:t>il y a lieu, une satisfaction équitable. »</w:t>
      </w:r>
    </w:p>
    <w:p w:rsidR="001F4B22" w:rsidRPr="00AD412E" w:rsidRDefault="001F4B22" w:rsidP="0033215C">
      <w:pPr>
        <w:pStyle w:val="ECHRHeading2"/>
        <w:rPr>
          <w:lang w:val="fr-FR"/>
        </w:rPr>
      </w:pPr>
      <w:r w:rsidRPr="00AD412E">
        <w:rPr>
          <w:lang w:val="fr-FR"/>
        </w:rPr>
        <w:t>A.  Dommage</w:t>
      </w:r>
    </w:p>
    <w:p w:rsidR="001F4B22"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83</w:t>
      </w:r>
      <w:r>
        <w:rPr>
          <w:lang w:val="fr-FR"/>
        </w:rPr>
        <w:fldChar w:fldCharType="end"/>
      </w:r>
      <w:r w:rsidRPr="00AD412E">
        <w:rPr>
          <w:lang w:val="fr-FR"/>
        </w:rPr>
        <w:t>.  </w:t>
      </w:r>
      <w:r>
        <w:rPr>
          <w:lang w:val="fr-FR"/>
        </w:rPr>
        <w:t>Les requérants indiquent qu’ils n’ont reçu ni la « rémunération adéquate » qui aurait été prévue par les directives européennes ni les points qu’ils s’attendaient à se voir attribuer dans le cadre du diplôme de spécialisation « communautaire ». Ils ajoutent qu’ils n’ont pas pu faire valoir leur diplôme de spécialisation en dehors du territoire italien dans leur exercice de la médecine dans d’autres États de l’UE. Ils relèvent à cet égard que le décret législatif n</w:t>
      </w:r>
      <w:r w:rsidRPr="000B2C31">
        <w:rPr>
          <w:vertAlign w:val="superscript"/>
          <w:lang w:val="fr-FR"/>
        </w:rPr>
        <w:t>o</w:t>
      </w:r>
      <w:r>
        <w:rPr>
          <w:lang w:val="fr-FR"/>
        </w:rPr>
        <w:t xml:space="preserve"> 257 de 1991 de transposition des directives n’était pas rétroactif et qu’il n’a prévu aucune rémunération pour la période 1982-1991. A</w:t>
      </w:r>
      <w:r w:rsidRPr="00AD412E">
        <w:rPr>
          <w:lang w:val="fr-FR"/>
        </w:rPr>
        <w:t>u titre du préjudice matériel</w:t>
      </w:r>
      <w:r>
        <w:rPr>
          <w:lang w:val="fr-FR"/>
        </w:rPr>
        <w:t>,</w:t>
      </w:r>
      <w:r w:rsidRPr="00AD412E">
        <w:rPr>
          <w:lang w:val="fr-FR"/>
        </w:rPr>
        <w:t xml:space="preserve"> </w:t>
      </w:r>
      <w:r>
        <w:rPr>
          <w:lang w:val="fr-FR"/>
        </w:rPr>
        <w:t>i</w:t>
      </w:r>
      <w:r w:rsidRPr="00AD412E">
        <w:rPr>
          <w:lang w:val="fr-FR"/>
        </w:rPr>
        <w:t xml:space="preserve">ls réclament </w:t>
      </w:r>
      <w:r>
        <w:rPr>
          <w:lang w:val="fr-FR"/>
        </w:rPr>
        <w:t xml:space="preserve">13 000 </w:t>
      </w:r>
      <w:r w:rsidRPr="00AD412E">
        <w:rPr>
          <w:lang w:val="fr-FR"/>
        </w:rPr>
        <w:t>EUR</w:t>
      </w:r>
      <w:r>
        <w:rPr>
          <w:lang w:val="fr-FR"/>
        </w:rPr>
        <w:t xml:space="preserve"> chacun</w:t>
      </w:r>
      <w:r w:rsidRPr="00AD412E">
        <w:rPr>
          <w:lang w:val="fr-FR"/>
        </w:rPr>
        <w:t xml:space="preserve"> </w:t>
      </w:r>
      <w:r>
        <w:rPr>
          <w:lang w:val="fr-FR"/>
        </w:rPr>
        <w:t>pour chaque annuité de cours de spécialisation comprise dans la période 1982</w:t>
      </w:r>
      <w:r>
        <w:rPr>
          <w:lang w:val="fr-FR"/>
        </w:rPr>
        <w:noBreakHyphen/>
        <w:t>1991, soit le montant qui est, selon eux, prévu par le projet de loi n</w:t>
      </w:r>
      <w:r w:rsidRPr="000B2C31">
        <w:rPr>
          <w:vertAlign w:val="superscript"/>
          <w:lang w:val="fr-FR"/>
        </w:rPr>
        <w:t>o</w:t>
      </w:r>
      <w:r>
        <w:rPr>
          <w:lang w:val="fr-FR"/>
        </w:rPr>
        <w:t> 679 de 2013 (paragraphe </w:t>
      </w:r>
      <w:fldSimple w:instr=" REF projetloi679 \h  \* MERGEFORMAT ">
        <w:r>
          <w:rPr>
            <w:noProof/>
            <w:lang w:val="fr-FR"/>
          </w:rPr>
          <w:t>76</w:t>
        </w:r>
      </w:fldSimple>
      <w:r>
        <w:rPr>
          <w:lang w:val="fr-FR"/>
        </w:rPr>
        <w:t xml:space="preserve"> ci-dessus), auquel ils ont ajouté les intérêts légaux et une somme pour compenser la dépréciation de la monnaie.</w:t>
      </w:r>
    </w:p>
    <w:p w:rsidR="001F4B22" w:rsidRPr="00EC2012" w:rsidRDefault="001F4B22" w:rsidP="00EC2012">
      <w:pPr>
        <w:pStyle w:val="JuParaSub"/>
        <w:ind w:left="0"/>
        <w:rPr>
          <w:lang w:val="fr-FR"/>
        </w:rPr>
      </w:pPr>
      <w:r>
        <w:rPr>
          <w:lang w:val="fr-FR"/>
        </w:rPr>
        <w:fldChar w:fldCharType="begin"/>
      </w:r>
      <w:r>
        <w:rPr>
          <w:lang w:val="fr-FR"/>
        </w:rPr>
        <w:instrText xml:space="preserve"> SEQ level0 \*arabic </w:instrText>
      </w:r>
      <w:r>
        <w:rPr>
          <w:lang w:val="fr-FR"/>
        </w:rPr>
        <w:fldChar w:fldCharType="separate"/>
      </w:r>
      <w:r>
        <w:rPr>
          <w:noProof/>
          <w:lang w:val="fr-FR"/>
        </w:rPr>
        <w:t>84</w:t>
      </w:r>
      <w:r>
        <w:rPr>
          <w:lang w:val="fr-FR"/>
        </w:rPr>
        <w:fldChar w:fldCharType="end"/>
      </w:r>
      <w:r>
        <w:rPr>
          <w:lang w:val="fr-FR"/>
        </w:rPr>
        <w:t>.  </w:t>
      </w:r>
      <w:r w:rsidRPr="00EC2012">
        <w:rPr>
          <w:lang w:val="fr-FR"/>
        </w:rPr>
        <w:t>Pour ce qui est de la non-attribution des points et de l</w:t>
      </w:r>
      <w:r>
        <w:rPr>
          <w:lang w:val="fr-FR"/>
        </w:rPr>
        <w:t>’</w:t>
      </w:r>
      <w:r w:rsidRPr="00EC2012">
        <w:rPr>
          <w:lang w:val="fr-FR"/>
        </w:rPr>
        <w:t>impossibilité d</w:t>
      </w:r>
      <w:r>
        <w:rPr>
          <w:lang w:val="fr-FR"/>
        </w:rPr>
        <w:t>’</w:t>
      </w:r>
      <w:r w:rsidRPr="00EC2012">
        <w:rPr>
          <w:lang w:val="fr-FR"/>
        </w:rPr>
        <w:t xml:space="preserve">utiliser les diplômes de spécialisation </w:t>
      </w:r>
      <w:r>
        <w:rPr>
          <w:lang w:val="fr-FR"/>
        </w:rPr>
        <w:t>à l’étranger</w:t>
      </w:r>
      <w:r w:rsidRPr="00EC2012">
        <w:rPr>
          <w:lang w:val="fr-FR"/>
        </w:rPr>
        <w:t>, les requérants estiment que ce préjudice ne saurait être réparé que par l</w:t>
      </w:r>
      <w:r>
        <w:rPr>
          <w:lang w:val="fr-FR"/>
        </w:rPr>
        <w:t>’</w:t>
      </w:r>
      <w:r w:rsidRPr="00EC2012">
        <w:rPr>
          <w:lang w:val="fr-FR"/>
        </w:rPr>
        <w:t>introduction d</w:t>
      </w:r>
      <w:r>
        <w:rPr>
          <w:lang w:val="fr-FR"/>
        </w:rPr>
        <w:t>’</w:t>
      </w:r>
      <w:r w:rsidRPr="00EC2012">
        <w:rPr>
          <w:lang w:val="fr-FR"/>
        </w:rPr>
        <w:t xml:space="preserve">une loi </w:t>
      </w:r>
      <w:r w:rsidRPr="00EC2012">
        <w:rPr>
          <w:i/>
          <w:lang w:val="fr-FR"/>
        </w:rPr>
        <w:t>ad hoc</w:t>
      </w:r>
      <w:r w:rsidRPr="00EC2012">
        <w:rPr>
          <w:lang w:val="fr-FR"/>
        </w:rPr>
        <w:t>.</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85</w:t>
      </w:r>
      <w:r>
        <w:rPr>
          <w:lang w:val="fr-FR"/>
        </w:rPr>
        <w:fldChar w:fldCharType="end"/>
      </w:r>
      <w:r>
        <w:rPr>
          <w:lang w:val="fr-FR"/>
        </w:rPr>
        <w:t>.  Ils demandent en outre 10 000 EUR chacun pour dommage moral.</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86</w:t>
      </w:r>
      <w:r>
        <w:rPr>
          <w:lang w:val="fr-FR"/>
        </w:rPr>
        <w:fldChar w:fldCharType="end"/>
      </w:r>
      <w:r w:rsidRPr="00AD412E">
        <w:rPr>
          <w:lang w:val="fr-FR"/>
        </w:rPr>
        <w:t xml:space="preserve">.  Le Gouvernement </w:t>
      </w:r>
      <w:r>
        <w:rPr>
          <w:lang w:val="fr-FR"/>
        </w:rPr>
        <w:t>affirme que les griefs tirés d’une discrimination et d’une atteinte au droit au respect des biens sont irrecevables, et qu’aucune somme ne peut être octroyée de ce chef. En tout état de cause, les sommes réclamées seraient excessives et calculées sur la base d’un projet de loi non encore examiné par le Parlement. Quant à la violation alléguée de l’article 6 § 1 de la Convention, elle n’aurait provoqué aucun préjudice. En effet, le Gouvernement est d’avis que, même si la Cour de cassation avait motivé son refus de poser la question préjudicielle, la décision sur le pourvoi des requérants n’aurait pas changé. Le simple constat de violation constituerait donc une satisfaction équitable suffisante.</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87</w:t>
      </w:r>
      <w:r>
        <w:rPr>
          <w:lang w:val="fr-FR"/>
        </w:rPr>
        <w:fldChar w:fldCharType="end"/>
      </w:r>
      <w:r w:rsidRPr="00AD412E">
        <w:rPr>
          <w:lang w:val="fr-FR"/>
        </w:rPr>
        <w:t xml:space="preserve">.  La Cour </w:t>
      </w:r>
      <w:r>
        <w:rPr>
          <w:lang w:val="fr-FR"/>
        </w:rPr>
        <w:t xml:space="preserve">rappelle qu’elle a constaté une violation de la Convention seulement en ce qui concerne l’absence de motivation du refus de la Cour de cassation de poser une question préjudicielle à la CJCE. Elle </w:t>
      </w:r>
      <w:r w:rsidRPr="00AD412E">
        <w:rPr>
          <w:lang w:val="fr-FR"/>
        </w:rPr>
        <w:t>n</w:t>
      </w:r>
      <w:r>
        <w:rPr>
          <w:lang w:val="fr-FR"/>
        </w:rPr>
        <w:t>’</w:t>
      </w:r>
      <w:r w:rsidRPr="00AD412E">
        <w:rPr>
          <w:lang w:val="fr-FR"/>
        </w:rPr>
        <w:t>aperçoit pas de lien de causalité entre la violation constatée et le dommage matériel allégué et rejette cette demande. En revanche, elle considère qu</w:t>
      </w:r>
      <w:r>
        <w:rPr>
          <w:lang w:val="fr-FR"/>
        </w:rPr>
        <w:t>’</w:t>
      </w:r>
      <w:r w:rsidRPr="00AD412E">
        <w:rPr>
          <w:lang w:val="fr-FR"/>
        </w:rPr>
        <w:t>il y a lieu d</w:t>
      </w:r>
      <w:r>
        <w:rPr>
          <w:lang w:val="fr-FR"/>
        </w:rPr>
        <w:t>’</w:t>
      </w:r>
      <w:r w:rsidRPr="00AD412E">
        <w:rPr>
          <w:lang w:val="fr-FR"/>
        </w:rPr>
        <w:t xml:space="preserve">octroyer </w:t>
      </w:r>
      <w:r>
        <w:rPr>
          <w:lang w:val="fr-FR"/>
        </w:rPr>
        <w:t>à chacun des</w:t>
      </w:r>
      <w:r w:rsidRPr="00AD412E">
        <w:rPr>
          <w:lang w:val="fr-FR"/>
        </w:rPr>
        <w:t xml:space="preserve"> requérants</w:t>
      </w:r>
      <w:r>
        <w:rPr>
          <w:lang w:val="fr-FR"/>
        </w:rPr>
        <w:t xml:space="preserve">, à l’exception de MM. </w:t>
      </w:r>
      <w:r w:rsidRPr="00EC2012">
        <w:rPr>
          <w:lang w:val="fr-FR"/>
        </w:rPr>
        <w:t>Pasquale M</w:t>
      </w:r>
      <w:r>
        <w:rPr>
          <w:lang w:val="fr-FR"/>
        </w:rPr>
        <w:t>arra</w:t>
      </w:r>
      <w:r w:rsidRPr="00EC2012">
        <w:rPr>
          <w:lang w:val="fr-FR"/>
        </w:rPr>
        <w:t xml:space="preserve"> </w:t>
      </w:r>
      <w:r>
        <w:rPr>
          <w:lang w:val="fr-FR"/>
        </w:rPr>
        <w:t xml:space="preserve">et </w:t>
      </w:r>
      <w:r w:rsidRPr="00EC2012">
        <w:rPr>
          <w:lang w:val="fr-FR"/>
        </w:rPr>
        <w:t>Piersan</w:t>
      </w:r>
      <w:r>
        <w:rPr>
          <w:lang w:val="fr-FR"/>
        </w:rPr>
        <w:t>d</w:t>
      </w:r>
      <w:r w:rsidRPr="00EC2012">
        <w:rPr>
          <w:lang w:val="fr-FR"/>
        </w:rPr>
        <w:t>ro T</w:t>
      </w:r>
      <w:r>
        <w:rPr>
          <w:lang w:val="fr-FR"/>
        </w:rPr>
        <w:t>resca, qui n’entendent plus maintenir leur requête (paragraphes </w:t>
      </w:r>
      <w:fldSimple w:instr=" REF duericorrentirinunciano \h  \* MERGEFORMAT ">
        <w:r>
          <w:rPr>
            <w:noProof/>
            <w:lang w:val="fr-FR"/>
          </w:rPr>
          <w:t>36</w:t>
        </w:r>
      </w:fldSimple>
      <w:r>
        <w:rPr>
          <w:lang w:val="fr-FR"/>
        </w:rPr>
        <w:t>-</w:t>
      </w:r>
      <w:fldSimple w:instr=" REF radiationrole \h  \* MERGEFORMAT ">
        <w:r>
          <w:rPr>
            <w:rFonts w:cs="Futura Std"/>
            <w:noProof/>
            <w:color w:val="000000"/>
            <w:szCs w:val="24"/>
            <w:lang w:val="fr-FR"/>
          </w:rPr>
          <w:t>38</w:t>
        </w:r>
      </w:fldSimple>
      <w:r>
        <w:rPr>
          <w:lang w:val="fr-FR"/>
        </w:rPr>
        <w:t xml:space="preserve"> ci-dessus),</w:t>
      </w:r>
      <w:r w:rsidRPr="00AD412E">
        <w:rPr>
          <w:lang w:val="fr-FR"/>
        </w:rPr>
        <w:t xml:space="preserve"> </w:t>
      </w:r>
      <w:r>
        <w:rPr>
          <w:lang w:val="fr-FR"/>
        </w:rPr>
        <w:t>3 000</w:t>
      </w:r>
      <w:r w:rsidRPr="00AD412E">
        <w:rPr>
          <w:lang w:val="fr-FR"/>
        </w:rPr>
        <w:t xml:space="preserve"> EUR </w:t>
      </w:r>
      <w:r>
        <w:rPr>
          <w:lang w:val="fr-FR"/>
        </w:rPr>
        <w:t>pour dommage</w:t>
      </w:r>
      <w:r w:rsidRPr="00AD412E">
        <w:rPr>
          <w:lang w:val="fr-FR"/>
        </w:rPr>
        <w:t xml:space="preserve"> moral</w:t>
      </w:r>
      <w:r>
        <w:rPr>
          <w:lang w:val="fr-FR"/>
        </w:rPr>
        <w:t>, soit la somme totale de 39 000 EUR</w:t>
      </w:r>
      <w:r w:rsidRPr="00AD412E">
        <w:rPr>
          <w:lang w:val="fr-FR"/>
        </w:rPr>
        <w:t>.</w:t>
      </w:r>
    </w:p>
    <w:p w:rsidR="001F4B22" w:rsidRPr="00AD412E" w:rsidRDefault="001F4B22" w:rsidP="0033215C">
      <w:pPr>
        <w:pStyle w:val="ECHRHeading2"/>
        <w:rPr>
          <w:lang w:val="fr-FR"/>
        </w:rPr>
      </w:pPr>
      <w:r w:rsidRPr="00AD412E">
        <w:rPr>
          <w:lang w:val="fr-FR"/>
        </w:rPr>
        <w:t>B.  Frais et dépens</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88</w:t>
      </w:r>
      <w:r>
        <w:rPr>
          <w:lang w:val="fr-FR"/>
        </w:rPr>
        <w:fldChar w:fldCharType="end"/>
      </w:r>
      <w:r w:rsidRPr="00AD412E">
        <w:rPr>
          <w:lang w:val="fr-FR"/>
        </w:rPr>
        <w:t xml:space="preserve">.  Les requérants demandent également </w:t>
      </w:r>
      <w:r>
        <w:rPr>
          <w:lang w:val="fr-FR"/>
        </w:rPr>
        <w:t>le remboursement</w:t>
      </w:r>
      <w:r w:rsidRPr="00AD412E">
        <w:rPr>
          <w:lang w:val="fr-FR"/>
        </w:rPr>
        <w:t xml:space="preserve"> </w:t>
      </w:r>
      <w:r>
        <w:rPr>
          <w:lang w:val="fr-FR"/>
        </w:rPr>
        <w:t>d</w:t>
      </w:r>
      <w:r w:rsidRPr="00AD412E">
        <w:rPr>
          <w:lang w:val="fr-FR"/>
        </w:rPr>
        <w:t>es frais et dépens engagés devant les juridictions internes et devant la Cour.</w:t>
      </w:r>
      <w:r>
        <w:rPr>
          <w:lang w:val="fr-FR"/>
        </w:rPr>
        <w:t xml:space="preserve"> Ils indiquent que, pour la procédure devant la Cour de cassation, ces frais ont </w:t>
      </w:r>
      <w:r w:rsidRPr="00274934">
        <w:rPr>
          <w:lang w:val="fr-FR"/>
        </w:rPr>
        <w:t>été fixés à 1 903,20 EUR, auxquels s</w:t>
      </w:r>
      <w:r>
        <w:rPr>
          <w:lang w:val="fr-FR"/>
        </w:rPr>
        <w:t>’</w:t>
      </w:r>
      <w:r w:rsidRPr="00274934">
        <w:rPr>
          <w:lang w:val="fr-FR"/>
        </w:rPr>
        <w:t>ajoutent les frais d</w:t>
      </w:r>
      <w:r>
        <w:rPr>
          <w:lang w:val="fr-FR"/>
        </w:rPr>
        <w:t>’</w:t>
      </w:r>
      <w:r w:rsidRPr="00274934">
        <w:rPr>
          <w:lang w:val="fr-FR"/>
        </w:rPr>
        <w:t>enregistr</w:t>
      </w:r>
      <w:r w:rsidRPr="0033215C">
        <w:rPr>
          <w:lang w:val="fr-FR"/>
        </w:rPr>
        <w:t>ement</w:t>
      </w:r>
      <w:r w:rsidRPr="00274934">
        <w:rPr>
          <w:lang w:val="fr-FR"/>
        </w:rPr>
        <w:t xml:space="preserve"> de</w:t>
      </w:r>
      <w:r>
        <w:rPr>
          <w:lang w:val="fr-FR"/>
        </w:rPr>
        <w:t xml:space="preserve"> l’arrêt (168 EUR). Au demeurant, les requérants demandent à la Cour de fixer en équité les sommes qui leur seraient dues de ce chef.</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89</w:t>
      </w:r>
      <w:r>
        <w:rPr>
          <w:lang w:val="fr-FR"/>
        </w:rPr>
        <w:fldChar w:fldCharType="end"/>
      </w:r>
      <w:r w:rsidRPr="00AD412E">
        <w:rPr>
          <w:lang w:val="fr-FR"/>
        </w:rPr>
        <w:t xml:space="preserve">.  Le Gouvernement </w:t>
      </w:r>
      <w:r>
        <w:rPr>
          <w:lang w:val="fr-FR"/>
        </w:rPr>
        <w:t>soutient que la demande de remboursement des frais exposés devant la Cour de cassation manque de justification et qu’elle doit être rejetée.</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90</w:t>
      </w:r>
      <w:r>
        <w:rPr>
          <w:lang w:val="fr-FR"/>
        </w:rPr>
        <w:fldChar w:fldCharType="end"/>
      </w:r>
      <w:r w:rsidRPr="00AD412E">
        <w:rPr>
          <w:lang w:val="fr-FR"/>
        </w:rPr>
        <w:t>.  Selon la jurisprudence de la Cour, un requérant ne peut obtenir le remboursement de ses frais et dépens que dans la mesure où se trouvent établis leur réalité, leur nécessité et le caractère raisonnable de leur taux. En l</w:t>
      </w:r>
      <w:r>
        <w:rPr>
          <w:lang w:val="fr-FR"/>
        </w:rPr>
        <w:t>’</w:t>
      </w:r>
      <w:r w:rsidRPr="00AD412E">
        <w:rPr>
          <w:lang w:val="fr-FR"/>
        </w:rPr>
        <w:t>espèce</w:t>
      </w:r>
      <w:r>
        <w:rPr>
          <w:lang w:val="fr-FR"/>
        </w:rPr>
        <w:t>, elle note que les requérants n’ont entamé aucune procédure interne en réparation de la violation de l’article 6 § 1 de la Convention commise par la Cour de cassation. Il y a donc lieu de rejeter la demande de remboursement</w:t>
      </w:r>
      <w:r w:rsidRPr="00AD412E">
        <w:rPr>
          <w:lang w:val="fr-FR"/>
        </w:rPr>
        <w:t xml:space="preserve"> </w:t>
      </w:r>
      <w:r>
        <w:rPr>
          <w:lang w:val="fr-FR"/>
        </w:rPr>
        <w:t>d</w:t>
      </w:r>
      <w:r w:rsidRPr="00AD412E">
        <w:rPr>
          <w:lang w:val="fr-FR"/>
        </w:rPr>
        <w:t>es frais et dépens engagés devant les juridictions internes</w:t>
      </w:r>
      <w:r>
        <w:rPr>
          <w:lang w:val="fr-FR"/>
        </w:rPr>
        <w:t xml:space="preserve">. </w:t>
      </w:r>
      <w:r w:rsidRPr="00AD412E">
        <w:rPr>
          <w:lang w:val="fr-FR"/>
        </w:rPr>
        <w:t xml:space="preserve">En </w:t>
      </w:r>
      <w:r>
        <w:rPr>
          <w:lang w:val="fr-FR"/>
        </w:rPr>
        <w:t>revanche,</w:t>
      </w:r>
      <w:r w:rsidRPr="00AD412E">
        <w:rPr>
          <w:lang w:val="fr-FR"/>
        </w:rPr>
        <w:t xml:space="preserve"> compte tenu des documents </w:t>
      </w:r>
      <w:r>
        <w:rPr>
          <w:lang w:val="fr-FR"/>
        </w:rPr>
        <w:t>dont elle dispose</w:t>
      </w:r>
      <w:r w:rsidRPr="00AD412E">
        <w:rPr>
          <w:lang w:val="fr-FR"/>
        </w:rPr>
        <w:t xml:space="preserve"> et de sa jurisprudence, la Cour estime raisonnable la somme </w:t>
      </w:r>
      <w:r>
        <w:rPr>
          <w:lang w:val="fr-FR"/>
        </w:rPr>
        <w:t xml:space="preserve">globale </w:t>
      </w:r>
      <w:r w:rsidRPr="00AD412E">
        <w:rPr>
          <w:lang w:val="fr-FR"/>
        </w:rPr>
        <w:t xml:space="preserve">de </w:t>
      </w:r>
      <w:r>
        <w:rPr>
          <w:lang w:val="fr-FR"/>
        </w:rPr>
        <w:t>5 000</w:t>
      </w:r>
      <w:r w:rsidRPr="00AD412E">
        <w:rPr>
          <w:lang w:val="fr-FR"/>
        </w:rPr>
        <w:t xml:space="preserve"> EUR pour la procédure devant </w:t>
      </w:r>
      <w:r>
        <w:rPr>
          <w:lang w:val="fr-FR"/>
        </w:rPr>
        <w:t>elle</w:t>
      </w:r>
      <w:r w:rsidRPr="00AD412E">
        <w:rPr>
          <w:lang w:val="fr-FR"/>
        </w:rPr>
        <w:t xml:space="preserve"> et l</w:t>
      </w:r>
      <w:r>
        <w:rPr>
          <w:lang w:val="fr-FR"/>
        </w:rPr>
        <w:t>’</w:t>
      </w:r>
      <w:r w:rsidRPr="00AD412E">
        <w:rPr>
          <w:lang w:val="fr-FR"/>
        </w:rPr>
        <w:t xml:space="preserve">accorde </w:t>
      </w:r>
      <w:r>
        <w:rPr>
          <w:lang w:val="fr-FR"/>
        </w:rPr>
        <w:t xml:space="preserve">conjointement </w:t>
      </w:r>
      <w:r w:rsidRPr="00AD412E">
        <w:rPr>
          <w:lang w:val="fr-FR"/>
        </w:rPr>
        <w:t>aux requérants.</w:t>
      </w:r>
    </w:p>
    <w:p w:rsidR="001F4B22" w:rsidRPr="00AD412E" w:rsidRDefault="001F4B22" w:rsidP="0033215C">
      <w:pPr>
        <w:pStyle w:val="ECHRHeading2"/>
        <w:rPr>
          <w:lang w:val="fr-FR"/>
        </w:rPr>
      </w:pPr>
      <w:r w:rsidRPr="00AD412E">
        <w:rPr>
          <w:lang w:val="fr-FR"/>
        </w:rPr>
        <w:t>C.  Intérêts moratoires</w:t>
      </w:r>
    </w:p>
    <w:p w:rsidR="001F4B22" w:rsidRPr="00AD412E" w:rsidRDefault="001F4B2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Pr>
          <w:noProof/>
          <w:lang w:val="fr-FR"/>
        </w:rPr>
        <w:t>91</w:t>
      </w:r>
      <w:r>
        <w:rPr>
          <w:lang w:val="fr-FR"/>
        </w:rPr>
        <w:fldChar w:fldCharType="end"/>
      </w:r>
      <w:r w:rsidRPr="00AD412E">
        <w:rPr>
          <w:lang w:val="fr-FR"/>
        </w:rPr>
        <w:t>.  La Cour juge approprié de calquer le taux des intérêts moratoires sur le taux d</w:t>
      </w:r>
      <w:r>
        <w:rPr>
          <w:lang w:val="fr-FR"/>
        </w:rPr>
        <w:t>’</w:t>
      </w:r>
      <w:r w:rsidRPr="00AD412E">
        <w:rPr>
          <w:lang w:val="fr-FR"/>
        </w:rPr>
        <w:t>intérêt de la facilité de prêt marginal de la Banque centrale européenne majoré de trois points de pourcentage.</w:t>
      </w:r>
    </w:p>
    <w:p w:rsidR="001F4B22" w:rsidRPr="00AD412E" w:rsidRDefault="001F4B22" w:rsidP="00E77CB3">
      <w:pPr>
        <w:pStyle w:val="ECHRTitle1"/>
        <w:rPr>
          <w:lang w:val="fr-FR"/>
        </w:rPr>
      </w:pPr>
      <w:r w:rsidRPr="00AD412E">
        <w:rPr>
          <w:lang w:val="fr-FR"/>
        </w:rPr>
        <w:t>PAR CES MOTIFS, LA COUR, À L</w:t>
      </w:r>
      <w:r>
        <w:rPr>
          <w:lang w:val="fr-FR"/>
        </w:rPr>
        <w:t>’</w:t>
      </w:r>
      <w:r w:rsidRPr="00AD412E">
        <w:rPr>
          <w:lang w:val="fr-FR"/>
        </w:rPr>
        <w:t>UNANIMITÉ,</w:t>
      </w:r>
    </w:p>
    <w:p w:rsidR="001F4B22" w:rsidRPr="00DF0FD7" w:rsidRDefault="001F4B22" w:rsidP="00E77CB3">
      <w:pPr>
        <w:pStyle w:val="JuList"/>
        <w:rPr>
          <w:i/>
          <w:lang w:val="fr-FR"/>
        </w:rPr>
      </w:pPr>
      <w:r w:rsidRPr="00AD412E">
        <w:rPr>
          <w:lang w:val="fr-FR"/>
        </w:rPr>
        <w:t>1.  </w:t>
      </w:r>
      <w:r>
        <w:rPr>
          <w:i/>
          <w:lang w:val="fr-FR"/>
        </w:rPr>
        <w:t xml:space="preserve">Décide </w:t>
      </w:r>
      <w:r>
        <w:rPr>
          <w:rFonts w:cs="Futura Std"/>
          <w:color w:val="000000"/>
          <w:szCs w:val="24"/>
          <w:lang w:val="fr-FR"/>
        </w:rPr>
        <w:t>de rayer la requête du rôle en ce qui concerne les septième et dixième requérants (</w:t>
      </w:r>
      <w:r>
        <w:rPr>
          <w:lang w:val="fr-FR"/>
        </w:rPr>
        <w:t xml:space="preserve">MM. </w:t>
      </w:r>
      <w:r w:rsidRPr="00EC2012">
        <w:rPr>
          <w:lang w:val="fr-FR"/>
        </w:rPr>
        <w:t>Pasquale M</w:t>
      </w:r>
      <w:r>
        <w:rPr>
          <w:lang w:val="fr-FR"/>
        </w:rPr>
        <w:t>arra</w:t>
      </w:r>
      <w:r w:rsidRPr="00EC2012">
        <w:rPr>
          <w:lang w:val="fr-FR"/>
        </w:rPr>
        <w:t xml:space="preserve"> </w:t>
      </w:r>
      <w:r>
        <w:rPr>
          <w:lang w:val="fr-FR"/>
        </w:rPr>
        <w:t xml:space="preserve">et </w:t>
      </w:r>
      <w:r w:rsidRPr="00EC2012">
        <w:rPr>
          <w:lang w:val="fr-FR"/>
        </w:rPr>
        <w:t>Piersan</w:t>
      </w:r>
      <w:r>
        <w:rPr>
          <w:lang w:val="fr-FR"/>
        </w:rPr>
        <w:t>d</w:t>
      </w:r>
      <w:r w:rsidRPr="00EC2012">
        <w:rPr>
          <w:lang w:val="fr-FR"/>
        </w:rPr>
        <w:t>ro T</w:t>
      </w:r>
      <w:r>
        <w:rPr>
          <w:lang w:val="fr-FR"/>
        </w:rPr>
        <w:t>resca) ;</w:t>
      </w:r>
    </w:p>
    <w:p w:rsidR="001F4B22" w:rsidRDefault="001F4B22" w:rsidP="00E77CB3">
      <w:pPr>
        <w:pStyle w:val="JuList"/>
        <w:rPr>
          <w:lang w:val="fr-FR"/>
        </w:rPr>
      </w:pPr>
    </w:p>
    <w:p w:rsidR="001F4B22" w:rsidRDefault="001F4B22" w:rsidP="00E77CB3">
      <w:pPr>
        <w:pStyle w:val="JuList"/>
        <w:rPr>
          <w:lang w:val="fr-FR"/>
        </w:rPr>
      </w:pPr>
      <w:r w:rsidRPr="00AE1B82">
        <w:rPr>
          <w:lang w:val="fr-FR"/>
        </w:rPr>
        <w:t>2.  </w:t>
      </w:r>
      <w:r w:rsidRPr="00AE1B82">
        <w:rPr>
          <w:i/>
          <w:lang w:val="fr-FR"/>
        </w:rPr>
        <w:t>Déclare</w:t>
      </w:r>
      <w:r w:rsidRPr="00AE1B82">
        <w:rPr>
          <w:lang w:val="fr-FR"/>
        </w:rPr>
        <w:t xml:space="preserve"> </w:t>
      </w:r>
      <w:r w:rsidRPr="0033215C">
        <w:rPr>
          <w:lang w:val="fr-FR"/>
        </w:rPr>
        <w:t>la requête recevable</w:t>
      </w:r>
      <w:r w:rsidRPr="00AE1B82">
        <w:rPr>
          <w:lang w:val="fr-FR"/>
        </w:rPr>
        <w:t xml:space="preserve"> quant au grief tiré du refus </w:t>
      </w:r>
      <w:r>
        <w:rPr>
          <w:lang w:val="fr-FR"/>
        </w:rPr>
        <w:t>de</w:t>
      </w:r>
      <w:r w:rsidRPr="00AE1B82">
        <w:rPr>
          <w:lang w:val="fr-FR"/>
        </w:rPr>
        <w:t xml:space="preserve"> la Cour de cassation de poser une question préjudicielle à la </w:t>
      </w:r>
      <w:r>
        <w:rPr>
          <w:lang w:val="fr-FR"/>
        </w:rPr>
        <w:t>CJCE,</w:t>
      </w:r>
      <w:r w:rsidRPr="00AE1B82">
        <w:rPr>
          <w:lang w:val="fr-FR"/>
        </w:rPr>
        <w:t xml:space="preserve"> et irrecevable pour le surplus ;</w:t>
      </w:r>
    </w:p>
    <w:p w:rsidR="001F4B22" w:rsidRPr="00AE1B82" w:rsidRDefault="001F4B22" w:rsidP="00E77CB3">
      <w:pPr>
        <w:pStyle w:val="JuList"/>
        <w:rPr>
          <w:lang w:val="fr-FR"/>
        </w:rPr>
      </w:pPr>
    </w:p>
    <w:p w:rsidR="001F4B22" w:rsidRPr="00AD412E" w:rsidRDefault="001F4B22" w:rsidP="00E77CB3">
      <w:pPr>
        <w:pStyle w:val="JuList"/>
        <w:rPr>
          <w:lang w:val="fr-FR"/>
        </w:rPr>
      </w:pPr>
      <w:r w:rsidRPr="00AE1B82">
        <w:rPr>
          <w:lang w:val="fr-FR"/>
        </w:rPr>
        <w:t>3.  </w:t>
      </w:r>
      <w:r w:rsidRPr="00AE1B82">
        <w:rPr>
          <w:i/>
          <w:lang w:val="fr-FR"/>
        </w:rPr>
        <w:t>Dit</w:t>
      </w:r>
      <w:r w:rsidRPr="00AE1B82">
        <w:rPr>
          <w:lang w:val="fr-FR"/>
        </w:rPr>
        <w:t xml:space="preserve"> qu</w:t>
      </w:r>
      <w:r>
        <w:rPr>
          <w:lang w:val="fr-FR"/>
        </w:rPr>
        <w:t>’</w:t>
      </w:r>
      <w:r w:rsidRPr="00AE1B82">
        <w:rPr>
          <w:lang w:val="fr-FR"/>
        </w:rPr>
        <w:t>il y a eu violation de l</w:t>
      </w:r>
      <w:r>
        <w:rPr>
          <w:lang w:val="fr-FR"/>
        </w:rPr>
        <w:t>’</w:t>
      </w:r>
      <w:r w:rsidRPr="00AE1B82">
        <w:rPr>
          <w:lang w:val="fr-FR"/>
        </w:rPr>
        <w:t xml:space="preserve">article 6 § 1 de la Convention à raison du </w:t>
      </w:r>
      <w:r>
        <w:rPr>
          <w:lang w:val="fr-FR"/>
        </w:rPr>
        <w:t>refus</w:t>
      </w:r>
      <w:r w:rsidRPr="00AE1B82">
        <w:rPr>
          <w:lang w:val="fr-FR"/>
        </w:rPr>
        <w:t xml:space="preserve"> </w:t>
      </w:r>
      <w:r>
        <w:rPr>
          <w:lang w:val="fr-FR"/>
        </w:rPr>
        <w:t>non motivé</w:t>
      </w:r>
      <w:r w:rsidRPr="00AE1B82">
        <w:rPr>
          <w:lang w:val="fr-FR"/>
        </w:rPr>
        <w:t xml:space="preserve"> de la </w:t>
      </w:r>
      <w:r>
        <w:rPr>
          <w:lang w:val="fr-FR"/>
        </w:rPr>
        <w:t>Cour de cassation</w:t>
      </w:r>
      <w:r w:rsidRPr="00AE1B82">
        <w:rPr>
          <w:lang w:val="fr-FR"/>
        </w:rPr>
        <w:t xml:space="preserve"> de poser une question préjudicielle à la </w:t>
      </w:r>
      <w:r>
        <w:rPr>
          <w:lang w:val="fr-FR"/>
        </w:rPr>
        <w:t>CJCE</w:t>
      </w:r>
      <w:r w:rsidRPr="00AE1B82">
        <w:rPr>
          <w:lang w:val="fr-FR"/>
        </w:rPr>
        <w:t> ;</w:t>
      </w:r>
    </w:p>
    <w:p w:rsidR="001F4B22" w:rsidRPr="00790333" w:rsidRDefault="001F4B22" w:rsidP="00E77CB3">
      <w:pPr>
        <w:pStyle w:val="JuList"/>
        <w:rPr>
          <w:lang w:val="fr-FR"/>
        </w:rPr>
      </w:pPr>
    </w:p>
    <w:p w:rsidR="001F4B22" w:rsidRDefault="001F4B22" w:rsidP="00E77CB3">
      <w:pPr>
        <w:pStyle w:val="JuList"/>
        <w:rPr>
          <w:lang w:val="fr-FR"/>
        </w:rPr>
      </w:pPr>
      <w:r>
        <w:rPr>
          <w:lang w:val="fr-FR"/>
        </w:rPr>
        <w:t>4</w:t>
      </w:r>
      <w:r w:rsidRPr="00AD412E">
        <w:rPr>
          <w:lang w:val="fr-FR"/>
        </w:rPr>
        <w:t>.  </w:t>
      </w:r>
      <w:r w:rsidRPr="00AD412E">
        <w:rPr>
          <w:i/>
          <w:lang w:val="fr-FR"/>
        </w:rPr>
        <w:t>Dit</w:t>
      </w:r>
    </w:p>
    <w:p w:rsidR="001F4B22" w:rsidRPr="00AD412E" w:rsidRDefault="001F4B22" w:rsidP="00E77CB3">
      <w:pPr>
        <w:pStyle w:val="JuLista"/>
        <w:rPr>
          <w:lang w:val="fr-FR"/>
        </w:rPr>
      </w:pPr>
      <w:r w:rsidRPr="00AD412E">
        <w:rPr>
          <w:lang w:val="fr-FR"/>
        </w:rPr>
        <w:t>a)  que l</w:t>
      </w:r>
      <w:r>
        <w:rPr>
          <w:lang w:val="fr-FR"/>
        </w:rPr>
        <w:t>’</w:t>
      </w:r>
      <w:r w:rsidRPr="00AD412E">
        <w:rPr>
          <w:lang w:val="fr-FR"/>
        </w:rPr>
        <w:t xml:space="preserve">État défendeur doit verser </w:t>
      </w:r>
      <w:r>
        <w:rPr>
          <w:lang w:val="fr-FR"/>
        </w:rPr>
        <w:t xml:space="preserve">conjointement </w:t>
      </w:r>
      <w:r w:rsidRPr="00AD412E">
        <w:rPr>
          <w:lang w:val="fr-FR"/>
        </w:rPr>
        <w:t>aux requérants, dans les trois mois</w:t>
      </w:r>
      <w:r>
        <w:rPr>
          <w:lang w:val="fr-FR"/>
        </w:rPr>
        <w:t xml:space="preserve"> </w:t>
      </w:r>
      <w:r w:rsidRPr="00AD412E">
        <w:rPr>
          <w:lang w:val="fr-FR"/>
        </w:rPr>
        <w:t>à compter du jour où l</w:t>
      </w:r>
      <w:r>
        <w:rPr>
          <w:lang w:val="fr-FR"/>
        </w:rPr>
        <w:t>’</w:t>
      </w:r>
      <w:r w:rsidRPr="00AD412E">
        <w:rPr>
          <w:lang w:val="fr-FR"/>
        </w:rPr>
        <w:t>arrêt sera devenu définitif conformément à l</w:t>
      </w:r>
      <w:r>
        <w:rPr>
          <w:lang w:val="fr-FR"/>
        </w:rPr>
        <w:t>’</w:t>
      </w:r>
      <w:r w:rsidRPr="00AD412E">
        <w:rPr>
          <w:lang w:val="fr-FR"/>
        </w:rPr>
        <w:t>article 44 § 2 de la Convention, les sommes suivantes :</w:t>
      </w:r>
    </w:p>
    <w:p w:rsidR="001F4B22" w:rsidRPr="00AD412E" w:rsidRDefault="001F4B22" w:rsidP="00E77CB3">
      <w:pPr>
        <w:pStyle w:val="JuListi"/>
        <w:rPr>
          <w:lang w:val="fr-FR" w:eastAsia="en-GB"/>
        </w:rPr>
      </w:pPr>
      <w:r w:rsidRPr="00AD412E">
        <w:rPr>
          <w:lang w:val="fr-FR" w:eastAsia="en-GB"/>
        </w:rPr>
        <w:t>i</w:t>
      </w:r>
      <w:r>
        <w:rPr>
          <w:lang w:val="fr-FR" w:eastAsia="en-GB"/>
        </w:rPr>
        <w:t>.</w:t>
      </w:r>
      <w:r w:rsidRPr="00AD412E">
        <w:rPr>
          <w:lang w:val="fr-FR" w:eastAsia="en-GB"/>
        </w:rPr>
        <w:t>  </w:t>
      </w:r>
      <w:r>
        <w:rPr>
          <w:lang w:val="fr-FR" w:eastAsia="en-GB"/>
        </w:rPr>
        <w:t>39 000</w:t>
      </w:r>
      <w:r w:rsidRPr="00AD412E">
        <w:rPr>
          <w:lang w:val="fr-FR" w:eastAsia="en-GB"/>
        </w:rPr>
        <w:t xml:space="preserve"> EUR (</w:t>
      </w:r>
      <w:r>
        <w:rPr>
          <w:lang w:val="fr-FR" w:eastAsia="en-GB"/>
        </w:rPr>
        <w:t>trente-neuf mille</w:t>
      </w:r>
      <w:r w:rsidRPr="00AD412E">
        <w:rPr>
          <w:lang w:val="fr-FR" w:eastAsia="en-GB"/>
        </w:rPr>
        <w:t xml:space="preserve"> euros), plus tout montant pouvant être dû à titre d</w:t>
      </w:r>
      <w:r>
        <w:rPr>
          <w:lang w:val="fr-FR" w:eastAsia="en-GB"/>
        </w:rPr>
        <w:t>’</w:t>
      </w:r>
      <w:r w:rsidRPr="00AD412E">
        <w:rPr>
          <w:lang w:val="fr-FR" w:eastAsia="en-GB"/>
        </w:rPr>
        <w:t>impôt, pour dommage moral</w:t>
      </w:r>
      <w:r>
        <w:rPr>
          <w:lang w:val="fr-FR" w:eastAsia="en-GB"/>
        </w:rPr>
        <w:t>,</w:t>
      </w:r>
    </w:p>
    <w:p w:rsidR="001F4B22" w:rsidRPr="00AD412E" w:rsidRDefault="001F4B22" w:rsidP="00E77CB3">
      <w:pPr>
        <w:pStyle w:val="JuListi"/>
        <w:rPr>
          <w:lang w:val="fr-FR" w:eastAsia="en-GB"/>
        </w:rPr>
      </w:pPr>
      <w:r w:rsidRPr="00AD412E">
        <w:rPr>
          <w:lang w:val="fr-FR" w:eastAsia="en-GB"/>
        </w:rPr>
        <w:t>ii</w:t>
      </w:r>
      <w:r>
        <w:rPr>
          <w:lang w:val="fr-FR" w:eastAsia="en-GB"/>
        </w:rPr>
        <w:t>.</w:t>
      </w:r>
      <w:r w:rsidRPr="00AD412E">
        <w:rPr>
          <w:lang w:val="fr-FR" w:eastAsia="en-GB"/>
        </w:rPr>
        <w:t>  </w:t>
      </w:r>
      <w:r>
        <w:rPr>
          <w:lang w:val="fr-FR" w:eastAsia="en-GB"/>
        </w:rPr>
        <w:t>5 000</w:t>
      </w:r>
      <w:r w:rsidRPr="00AD412E">
        <w:rPr>
          <w:lang w:val="fr-FR" w:eastAsia="en-GB"/>
        </w:rPr>
        <w:t xml:space="preserve"> EUR (</w:t>
      </w:r>
      <w:r>
        <w:rPr>
          <w:lang w:val="fr-FR" w:eastAsia="en-GB"/>
        </w:rPr>
        <w:t>cinq mille</w:t>
      </w:r>
      <w:r w:rsidRPr="00AD412E">
        <w:rPr>
          <w:lang w:val="fr-FR" w:eastAsia="en-GB"/>
        </w:rPr>
        <w:t xml:space="preserve"> euros), plus tout montant pouvant être dû à titre d</w:t>
      </w:r>
      <w:r>
        <w:rPr>
          <w:lang w:val="fr-FR" w:eastAsia="en-GB"/>
        </w:rPr>
        <w:t>’</w:t>
      </w:r>
      <w:r w:rsidRPr="00AD412E">
        <w:rPr>
          <w:lang w:val="fr-FR" w:eastAsia="en-GB"/>
        </w:rPr>
        <w:t>impôt par le</w:t>
      </w:r>
      <w:r>
        <w:rPr>
          <w:lang w:val="fr-FR" w:eastAsia="en-GB"/>
        </w:rPr>
        <w:t>s</w:t>
      </w:r>
      <w:r w:rsidRPr="00AD412E">
        <w:rPr>
          <w:lang w:val="fr-FR" w:eastAsia="en-GB"/>
        </w:rPr>
        <w:t xml:space="preserve"> requérant</w:t>
      </w:r>
      <w:r>
        <w:rPr>
          <w:lang w:val="fr-FR" w:eastAsia="en-GB"/>
        </w:rPr>
        <w:t>s</w:t>
      </w:r>
      <w:r w:rsidRPr="00AD412E">
        <w:rPr>
          <w:lang w:val="fr-FR" w:eastAsia="en-GB"/>
        </w:rPr>
        <w:t>, pour frais et dépens ;</w:t>
      </w:r>
    </w:p>
    <w:p w:rsidR="001F4B22" w:rsidRPr="00AD412E" w:rsidRDefault="001F4B22" w:rsidP="00E77CB3">
      <w:pPr>
        <w:pStyle w:val="JuLista"/>
        <w:rPr>
          <w:lang w:val="fr-FR"/>
        </w:rPr>
      </w:pPr>
      <w:r w:rsidRPr="00AD412E">
        <w:rPr>
          <w:lang w:val="fr-FR"/>
        </w:rPr>
        <w:t>b)  qu</w:t>
      </w:r>
      <w:r>
        <w:rPr>
          <w:lang w:val="fr-FR"/>
        </w:rPr>
        <w:t>’</w:t>
      </w:r>
      <w:r w:rsidRPr="00AD412E">
        <w:rPr>
          <w:lang w:val="fr-FR"/>
        </w:rPr>
        <w:t>à compter de l</w:t>
      </w:r>
      <w:r>
        <w:rPr>
          <w:lang w:val="fr-FR"/>
        </w:rPr>
        <w:t>’</w:t>
      </w:r>
      <w:r w:rsidRPr="00AD412E">
        <w:rPr>
          <w:lang w:val="fr-FR"/>
        </w:rPr>
        <w:t>expiration dudit délai et jusqu</w:t>
      </w:r>
      <w:r>
        <w:rPr>
          <w:lang w:val="fr-FR"/>
        </w:rPr>
        <w:t>’</w:t>
      </w:r>
      <w:r w:rsidRPr="00AD412E">
        <w:rPr>
          <w:lang w:val="fr-FR"/>
        </w:rPr>
        <w:t>au versement, ces montants seront à majorer d</w:t>
      </w:r>
      <w:r>
        <w:rPr>
          <w:lang w:val="fr-FR"/>
        </w:rPr>
        <w:t>’</w:t>
      </w:r>
      <w:r w:rsidRPr="00AD412E">
        <w:rPr>
          <w:lang w:val="fr-FR"/>
        </w:rPr>
        <w:t>un intérêt simple à un taux égal à celui de la facilité de prêt marginal de la Banque centrale européenne applicable pendant cette période, augmenté de trois points de pourcentage ;</w:t>
      </w:r>
    </w:p>
    <w:p w:rsidR="001F4B22" w:rsidRPr="00AD412E" w:rsidRDefault="001F4B22" w:rsidP="00E77CB3">
      <w:pPr>
        <w:pStyle w:val="JuLista"/>
        <w:rPr>
          <w:lang w:val="fr-FR"/>
        </w:rPr>
      </w:pPr>
    </w:p>
    <w:p w:rsidR="001F4B22" w:rsidRPr="00AD412E" w:rsidRDefault="001F4B22" w:rsidP="00E77CB3">
      <w:pPr>
        <w:pStyle w:val="JuList"/>
        <w:rPr>
          <w:lang w:val="fr-FR"/>
        </w:rPr>
      </w:pPr>
      <w:r>
        <w:rPr>
          <w:lang w:val="fr-FR"/>
        </w:rPr>
        <w:t>5</w:t>
      </w:r>
      <w:r w:rsidRPr="00AD412E">
        <w:rPr>
          <w:lang w:val="fr-FR"/>
        </w:rPr>
        <w:t>.  </w:t>
      </w:r>
      <w:r w:rsidRPr="00AD412E">
        <w:rPr>
          <w:i/>
          <w:lang w:val="fr-FR"/>
        </w:rPr>
        <w:t>Rejette</w:t>
      </w:r>
      <w:r w:rsidRPr="00AD412E">
        <w:rPr>
          <w:lang w:val="fr-FR"/>
        </w:rPr>
        <w:t xml:space="preserve"> la demande de satisfaction équitable pour le surplus.</w:t>
      </w:r>
    </w:p>
    <w:p w:rsidR="001F4B22" w:rsidRPr="00AD412E" w:rsidRDefault="001F4B22" w:rsidP="00E77CB3">
      <w:pPr>
        <w:pStyle w:val="JuParaLast"/>
        <w:rPr>
          <w:lang w:val="fr-FR"/>
        </w:rPr>
      </w:pPr>
      <w:r w:rsidRPr="00AD412E">
        <w:rPr>
          <w:lang w:val="fr-FR"/>
        </w:rPr>
        <w:t>Fait en français, puis communiqué par écrit le </w:t>
      </w:r>
      <w:r>
        <w:rPr>
          <w:lang w:val="fr-FR"/>
        </w:rPr>
        <w:t>21 juillet 2015</w:t>
      </w:r>
      <w:r w:rsidRPr="00AD412E">
        <w:rPr>
          <w:lang w:val="fr-FR"/>
        </w:rPr>
        <w:t>, en application de l</w:t>
      </w:r>
      <w:r>
        <w:rPr>
          <w:lang w:val="fr-FR"/>
        </w:rPr>
        <w:t>’</w:t>
      </w:r>
      <w:r w:rsidRPr="00AD412E">
        <w:rPr>
          <w:lang w:val="fr-FR"/>
        </w:rPr>
        <w:t>article 77 §§ 2 et 3 du règlement.</w:t>
      </w:r>
    </w:p>
    <w:p w:rsidR="001F4B22" w:rsidRDefault="001F4B22" w:rsidP="00E77CB3">
      <w:pPr>
        <w:pStyle w:val="JuSigned"/>
        <w:keepNext/>
        <w:keepLines/>
        <w:rPr>
          <w:lang w:val="fr-FR"/>
        </w:rPr>
      </w:pPr>
      <w:r w:rsidRPr="00AD412E">
        <w:rPr>
          <w:lang w:val="fr-FR"/>
        </w:rPr>
        <w:tab/>
      </w:r>
      <w:r>
        <w:rPr>
          <w:lang w:val="fr-FR"/>
        </w:rPr>
        <w:t>Françoise</w:t>
      </w:r>
      <w:r w:rsidRPr="0072720E">
        <w:rPr>
          <w:lang w:val="fr-FR"/>
        </w:rPr>
        <w:t xml:space="preserve"> </w:t>
      </w:r>
      <w:r>
        <w:rPr>
          <w:lang w:val="fr-FR"/>
        </w:rPr>
        <w:t>Elens-Passos</w:t>
      </w:r>
      <w:r w:rsidRPr="00AD412E">
        <w:rPr>
          <w:lang w:val="fr-FR"/>
        </w:rPr>
        <w:tab/>
      </w:r>
      <w:r>
        <w:rPr>
          <w:lang w:val="fr-FR"/>
        </w:rPr>
        <w:t>Päivi</w:t>
      </w:r>
      <w:r w:rsidRPr="0072720E">
        <w:rPr>
          <w:lang w:val="fr-FR"/>
        </w:rPr>
        <w:t xml:space="preserve"> </w:t>
      </w:r>
      <w:r>
        <w:rPr>
          <w:lang w:val="fr-FR"/>
        </w:rPr>
        <w:t>Hirvelä</w:t>
      </w:r>
      <w:r w:rsidRPr="00AD412E">
        <w:rPr>
          <w:lang w:val="fr-FR"/>
        </w:rPr>
        <w:br/>
      </w:r>
      <w:r w:rsidRPr="00AD412E">
        <w:rPr>
          <w:lang w:val="fr-FR"/>
        </w:rPr>
        <w:tab/>
        <w:t>Greffi</w:t>
      </w:r>
      <w:r>
        <w:rPr>
          <w:lang w:val="fr-FR"/>
        </w:rPr>
        <w:t>è</w:t>
      </w:r>
      <w:r w:rsidRPr="00AD412E">
        <w:rPr>
          <w:lang w:val="fr-FR"/>
        </w:rPr>
        <w:t>r</w:t>
      </w:r>
      <w:r>
        <w:rPr>
          <w:lang w:val="fr-FR"/>
        </w:rPr>
        <w:t>e</w:t>
      </w:r>
      <w:r w:rsidRPr="00AD412E">
        <w:rPr>
          <w:lang w:val="fr-FR"/>
        </w:rPr>
        <w:tab/>
        <w:t>Présidente</w:t>
      </w:r>
    </w:p>
    <w:p w:rsidR="001F4B22" w:rsidRPr="00A939C7" w:rsidRDefault="001F4B22" w:rsidP="00600DC8">
      <w:pPr>
        <w:pStyle w:val="JuParaLast"/>
        <w:rPr>
          <w:lang w:val="fr-FR"/>
        </w:rPr>
      </w:pPr>
      <w:r w:rsidRPr="00A939C7">
        <w:rPr>
          <w:lang w:val="fr-FR"/>
        </w:rPr>
        <w:t>Au présent arrêt se trouve joint, conformément aux articles 45 § 2 de la Convention et 74 § 2 du règlement, l</w:t>
      </w:r>
      <w:r>
        <w:rPr>
          <w:lang w:val="fr-FR"/>
        </w:rPr>
        <w:t>’</w:t>
      </w:r>
      <w:r w:rsidRPr="00A939C7">
        <w:rPr>
          <w:lang w:val="fr-FR"/>
        </w:rPr>
        <w:t>exposé de l</w:t>
      </w:r>
      <w:r>
        <w:rPr>
          <w:lang w:val="fr-FR"/>
        </w:rPr>
        <w:t>’</w:t>
      </w:r>
      <w:r w:rsidRPr="00A939C7">
        <w:rPr>
          <w:lang w:val="fr-FR"/>
        </w:rPr>
        <w:t>opinion séparée du juge Wojtyczek.</w:t>
      </w:r>
    </w:p>
    <w:p w:rsidR="001F4B22" w:rsidRPr="00A504AA" w:rsidRDefault="001F4B22" w:rsidP="00A939C7">
      <w:pPr>
        <w:pStyle w:val="JuInitialled"/>
        <w:rPr>
          <w:lang w:val="en-GB"/>
        </w:rPr>
      </w:pPr>
      <w:r>
        <w:t>P.H.</w:t>
      </w:r>
      <w:r w:rsidRPr="00167801">
        <w:br/>
      </w:r>
      <w:r>
        <w:t>F.E.P.</w:t>
      </w:r>
    </w:p>
    <w:p w:rsidR="001F4B22" w:rsidRPr="002725DB" w:rsidRDefault="001F4B22" w:rsidP="00AF5EF1">
      <w:pPr>
        <w:pStyle w:val="JuTitle"/>
      </w:pPr>
      <w:r w:rsidRPr="00A504AA">
        <w:rPr>
          <w:lang w:val="en-GB"/>
        </w:rPr>
        <w:br w:type="column"/>
      </w:r>
      <w:r w:rsidRPr="002725DB">
        <w:t>ANNEXE</w:t>
      </w:r>
    </w:p>
    <w:p w:rsidR="001F4B22" w:rsidRPr="00A504AA" w:rsidRDefault="001F4B22" w:rsidP="00AF5EF1">
      <w:pPr>
        <w:rPr>
          <w:lang w:val="en-GB"/>
        </w:rPr>
      </w:pPr>
    </w:p>
    <w:p w:rsidR="001F4B22" w:rsidRPr="00776B02" w:rsidRDefault="001F4B22" w:rsidP="00192568">
      <w:pPr>
        <w:pStyle w:val="ListParagraph"/>
        <w:numPr>
          <w:ilvl w:val="0"/>
          <w:numId w:val="34"/>
        </w:numPr>
        <w:tabs>
          <w:tab w:val="left" w:pos="425"/>
        </w:tabs>
        <w:ind w:left="0" w:firstLine="0"/>
        <w:rPr>
          <w:b/>
          <w:lang w:val="fr-FR"/>
        </w:rPr>
      </w:pPr>
      <w:r w:rsidRPr="00776B02">
        <w:rPr>
          <w:lang w:val="fr-FR"/>
        </w:rPr>
        <w:t>Giovanni SCHIPANI est né en 1955 et réside à Melito Porto Salvo</w:t>
      </w:r>
    </w:p>
    <w:p w:rsidR="001F4B22" w:rsidRDefault="001F4B22" w:rsidP="00D562C7">
      <w:pPr>
        <w:pStyle w:val="ListParagraph"/>
        <w:numPr>
          <w:ilvl w:val="0"/>
          <w:numId w:val="34"/>
        </w:numPr>
        <w:tabs>
          <w:tab w:val="left" w:pos="425"/>
        </w:tabs>
        <w:ind w:left="0" w:firstLine="0"/>
        <w:rPr>
          <w:lang w:val="fr-FR"/>
        </w:rPr>
      </w:pPr>
      <w:r w:rsidRPr="00192568">
        <w:rPr>
          <w:lang w:val="fr-FR"/>
        </w:rPr>
        <w:t>Salvatore BELMONTE est né en 1955</w:t>
      </w:r>
      <w:r>
        <w:rPr>
          <w:lang w:val="fr-FR"/>
        </w:rPr>
        <w:t xml:space="preserve"> et</w:t>
      </w:r>
      <w:r w:rsidRPr="00192568">
        <w:rPr>
          <w:lang w:val="fr-FR"/>
        </w:rPr>
        <w:t xml:space="preserve"> résid</w:t>
      </w:r>
      <w:r>
        <w:rPr>
          <w:lang w:val="fr-FR"/>
        </w:rPr>
        <w:t>e</w:t>
      </w:r>
      <w:r w:rsidRPr="00192568">
        <w:rPr>
          <w:lang w:val="fr-FR"/>
        </w:rPr>
        <w:t xml:space="preserve"> à Belvedere Marittimo</w:t>
      </w:r>
    </w:p>
    <w:p w:rsidR="001F4B22" w:rsidRDefault="001F4B22" w:rsidP="002C6886">
      <w:pPr>
        <w:pStyle w:val="ListParagraph"/>
        <w:numPr>
          <w:ilvl w:val="0"/>
          <w:numId w:val="34"/>
        </w:numPr>
        <w:tabs>
          <w:tab w:val="left" w:pos="425"/>
        </w:tabs>
        <w:ind w:left="0" w:firstLine="0"/>
        <w:rPr>
          <w:lang w:val="fr-FR"/>
        </w:rPr>
      </w:pPr>
      <w:r w:rsidRPr="00D562C7">
        <w:rPr>
          <w:lang w:val="fr-FR"/>
        </w:rPr>
        <w:t>Serafino CONFORTI est né en 1957</w:t>
      </w:r>
      <w:r>
        <w:rPr>
          <w:lang w:val="fr-FR"/>
        </w:rPr>
        <w:t xml:space="preserve"> et</w:t>
      </w:r>
      <w:r w:rsidRPr="00D562C7">
        <w:rPr>
          <w:lang w:val="fr-FR"/>
        </w:rPr>
        <w:t xml:space="preserve"> résid</w:t>
      </w:r>
      <w:r>
        <w:rPr>
          <w:lang w:val="fr-FR"/>
        </w:rPr>
        <w:t>e</w:t>
      </w:r>
      <w:r w:rsidRPr="00D562C7">
        <w:rPr>
          <w:lang w:val="fr-FR"/>
        </w:rPr>
        <w:t xml:space="preserve"> à Marano Marchesato</w:t>
      </w:r>
    </w:p>
    <w:p w:rsidR="001F4B22" w:rsidRPr="00192568" w:rsidRDefault="001F4B22" w:rsidP="002C6886">
      <w:pPr>
        <w:pStyle w:val="ListParagraph"/>
        <w:numPr>
          <w:ilvl w:val="0"/>
          <w:numId w:val="34"/>
        </w:numPr>
        <w:tabs>
          <w:tab w:val="left" w:pos="425"/>
        </w:tabs>
        <w:ind w:left="0" w:firstLine="0"/>
        <w:rPr>
          <w:b/>
          <w:lang w:val="fr-FR"/>
        </w:rPr>
      </w:pPr>
      <w:r w:rsidRPr="00192568">
        <w:rPr>
          <w:lang w:val="fr-FR"/>
        </w:rPr>
        <w:t>Francesco IACONO est né en 1964</w:t>
      </w:r>
      <w:r>
        <w:rPr>
          <w:lang w:val="fr-FR"/>
        </w:rPr>
        <w:t xml:space="preserve"> et</w:t>
      </w:r>
      <w:r w:rsidRPr="00192568">
        <w:rPr>
          <w:lang w:val="fr-FR"/>
        </w:rPr>
        <w:t xml:space="preserve"> résid</w:t>
      </w:r>
      <w:r>
        <w:rPr>
          <w:lang w:val="fr-FR"/>
        </w:rPr>
        <w:t>e</w:t>
      </w:r>
      <w:r w:rsidRPr="00192568">
        <w:rPr>
          <w:lang w:val="fr-FR"/>
        </w:rPr>
        <w:t xml:space="preserve"> à Bologne</w:t>
      </w:r>
    </w:p>
    <w:p w:rsidR="001F4B22" w:rsidRPr="00192568" w:rsidRDefault="001F4B22" w:rsidP="002C6886">
      <w:pPr>
        <w:pStyle w:val="ListParagraph"/>
        <w:numPr>
          <w:ilvl w:val="0"/>
          <w:numId w:val="34"/>
        </w:numPr>
        <w:tabs>
          <w:tab w:val="left" w:pos="425"/>
        </w:tabs>
        <w:ind w:left="0" w:firstLine="0"/>
        <w:rPr>
          <w:b/>
          <w:lang w:val="fr-FR"/>
        </w:rPr>
      </w:pPr>
      <w:r w:rsidRPr="00192568">
        <w:rPr>
          <w:lang w:val="fr-FR"/>
        </w:rPr>
        <w:t>Giovanni IACONO est né en 1961</w:t>
      </w:r>
      <w:r>
        <w:rPr>
          <w:lang w:val="fr-FR"/>
        </w:rPr>
        <w:t xml:space="preserve"> et</w:t>
      </w:r>
      <w:r w:rsidRPr="00192568">
        <w:rPr>
          <w:lang w:val="fr-FR"/>
        </w:rPr>
        <w:t xml:space="preserve"> résid</w:t>
      </w:r>
      <w:r>
        <w:rPr>
          <w:lang w:val="fr-FR"/>
        </w:rPr>
        <w:t>e</w:t>
      </w:r>
      <w:r w:rsidRPr="00192568">
        <w:rPr>
          <w:lang w:val="fr-FR"/>
        </w:rPr>
        <w:t xml:space="preserve"> à Cosenza</w:t>
      </w:r>
    </w:p>
    <w:p w:rsidR="001F4B22" w:rsidRPr="00192568" w:rsidRDefault="001F4B22" w:rsidP="002C6886">
      <w:pPr>
        <w:pStyle w:val="ListParagraph"/>
        <w:numPr>
          <w:ilvl w:val="0"/>
          <w:numId w:val="34"/>
        </w:numPr>
        <w:tabs>
          <w:tab w:val="left" w:pos="425"/>
        </w:tabs>
        <w:ind w:left="0" w:firstLine="0"/>
        <w:rPr>
          <w:b/>
          <w:lang w:val="fr-FR"/>
        </w:rPr>
      </w:pPr>
      <w:r w:rsidRPr="00192568">
        <w:rPr>
          <w:lang w:val="fr-FR"/>
        </w:rPr>
        <w:t>Domenico INTROINI est né en 1953</w:t>
      </w:r>
      <w:r>
        <w:rPr>
          <w:lang w:val="fr-FR"/>
        </w:rPr>
        <w:t xml:space="preserve"> et</w:t>
      </w:r>
      <w:r w:rsidRPr="00192568">
        <w:rPr>
          <w:lang w:val="fr-FR"/>
        </w:rPr>
        <w:t xml:space="preserve"> résid</w:t>
      </w:r>
      <w:r>
        <w:rPr>
          <w:lang w:val="fr-FR"/>
        </w:rPr>
        <w:t>e</w:t>
      </w:r>
      <w:r w:rsidRPr="00192568">
        <w:rPr>
          <w:lang w:val="fr-FR"/>
        </w:rPr>
        <w:t xml:space="preserve"> à Scalea</w:t>
      </w:r>
    </w:p>
    <w:p w:rsidR="001F4B22" w:rsidRPr="002C6886" w:rsidRDefault="001F4B22" w:rsidP="002C6886">
      <w:pPr>
        <w:pStyle w:val="ListParagraph"/>
        <w:numPr>
          <w:ilvl w:val="0"/>
          <w:numId w:val="34"/>
        </w:numPr>
        <w:tabs>
          <w:tab w:val="left" w:pos="425"/>
        </w:tabs>
        <w:ind w:left="0" w:firstLine="0"/>
        <w:rPr>
          <w:b/>
          <w:lang w:val="fr-FR"/>
        </w:rPr>
      </w:pPr>
      <w:r w:rsidRPr="00192568">
        <w:rPr>
          <w:lang w:val="fr-FR"/>
        </w:rPr>
        <w:t>Pasquale MARRA est né en 1956</w:t>
      </w:r>
      <w:r>
        <w:rPr>
          <w:lang w:val="fr-FR"/>
        </w:rPr>
        <w:t xml:space="preserve"> et</w:t>
      </w:r>
      <w:r w:rsidRPr="00192568">
        <w:rPr>
          <w:lang w:val="fr-FR"/>
        </w:rPr>
        <w:t xml:space="preserve"> résid</w:t>
      </w:r>
      <w:r>
        <w:rPr>
          <w:lang w:val="fr-FR"/>
        </w:rPr>
        <w:t>e</w:t>
      </w:r>
      <w:r w:rsidRPr="00192568">
        <w:rPr>
          <w:lang w:val="fr-FR"/>
        </w:rPr>
        <w:t xml:space="preserve"> à Rende</w:t>
      </w:r>
    </w:p>
    <w:p w:rsidR="001F4B22" w:rsidRDefault="001F4B22" w:rsidP="002C6886">
      <w:pPr>
        <w:pStyle w:val="ListParagraph"/>
        <w:numPr>
          <w:ilvl w:val="0"/>
          <w:numId w:val="34"/>
        </w:numPr>
        <w:tabs>
          <w:tab w:val="left" w:pos="425"/>
        </w:tabs>
        <w:ind w:left="0" w:firstLine="0"/>
        <w:rPr>
          <w:lang w:val="fr-FR"/>
        </w:rPr>
      </w:pPr>
      <w:r w:rsidRPr="002C6886">
        <w:rPr>
          <w:lang w:val="fr-FR"/>
        </w:rPr>
        <w:t>Francesco ROMANO est né en 1952</w:t>
      </w:r>
      <w:r>
        <w:rPr>
          <w:lang w:val="fr-FR"/>
        </w:rPr>
        <w:t xml:space="preserve"> et</w:t>
      </w:r>
      <w:r w:rsidRPr="002C6886">
        <w:rPr>
          <w:lang w:val="fr-FR"/>
        </w:rPr>
        <w:t xml:space="preserve"> résid</w:t>
      </w:r>
      <w:r>
        <w:rPr>
          <w:lang w:val="fr-FR"/>
        </w:rPr>
        <w:t>e</w:t>
      </w:r>
      <w:r w:rsidRPr="002C6886">
        <w:rPr>
          <w:lang w:val="fr-FR"/>
        </w:rPr>
        <w:t xml:space="preserve"> à Cosenza</w:t>
      </w:r>
    </w:p>
    <w:p w:rsidR="001F4B22" w:rsidRPr="002C6886" w:rsidRDefault="001F4B22" w:rsidP="002C6886">
      <w:pPr>
        <w:pStyle w:val="ListParagraph"/>
        <w:numPr>
          <w:ilvl w:val="0"/>
          <w:numId w:val="34"/>
        </w:numPr>
        <w:tabs>
          <w:tab w:val="left" w:pos="425"/>
        </w:tabs>
        <w:ind w:left="0" w:firstLine="0"/>
        <w:rPr>
          <w:lang w:val="fr-FR"/>
        </w:rPr>
      </w:pPr>
      <w:r w:rsidRPr="002C6886">
        <w:rPr>
          <w:lang w:val="fr-FR"/>
        </w:rPr>
        <w:t>Francesco SCHIARITI est né en 1960</w:t>
      </w:r>
      <w:r>
        <w:rPr>
          <w:lang w:val="fr-FR"/>
        </w:rPr>
        <w:t xml:space="preserve"> et</w:t>
      </w:r>
      <w:r w:rsidRPr="002C6886">
        <w:rPr>
          <w:lang w:val="fr-FR"/>
        </w:rPr>
        <w:t xml:space="preserve"> résid</w:t>
      </w:r>
      <w:r>
        <w:rPr>
          <w:lang w:val="fr-FR"/>
        </w:rPr>
        <w:t>e</w:t>
      </w:r>
      <w:r w:rsidRPr="002C6886">
        <w:rPr>
          <w:lang w:val="fr-FR"/>
        </w:rPr>
        <w:t xml:space="preserve"> à Cetraro</w:t>
      </w:r>
    </w:p>
    <w:p w:rsidR="001F4B22" w:rsidRPr="002C6886" w:rsidRDefault="001F4B22" w:rsidP="00D562C7">
      <w:pPr>
        <w:pStyle w:val="ListParagraph"/>
        <w:numPr>
          <w:ilvl w:val="0"/>
          <w:numId w:val="34"/>
        </w:numPr>
        <w:tabs>
          <w:tab w:val="left" w:pos="425"/>
        </w:tabs>
        <w:ind w:left="0" w:firstLine="0"/>
        <w:rPr>
          <w:b/>
          <w:lang w:val="fr-FR"/>
        </w:rPr>
      </w:pPr>
      <w:r w:rsidRPr="002C6886">
        <w:rPr>
          <w:lang w:val="fr-FR"/>
        </w:rPr>
        <w:t>Piersanro TRESCA est né en 1955</w:t>
      </w:r>
      <w:r>
        <w:rPr>
          <w:lang w:val="fr-FR"/>
        </w:rPr>
        <w:t xml:space="preserve"> et</w:t>
      </w:r>
      <w:r w:rsidRPr="002C6886">
        <w:rPr>
          <w:lang w:val="fr-FR"/>
        </w:rPr>
        <w:t xml:space="preserve"> résid</w:t>
      </w:r>
      <w:r>
        <w:rPr>
          <w:lang w:val="fr-FR"/>
        </w:rPr>
        <w:t>e</w:t>
      </w:r>
      <w:r w:rsidRPr="002C6886">
        <w:rPr>
          <w:lang w:val="fr-FR"/>
        </w:rPr>
        <w:t xml:space="preserve"> à Rende</w:t>
      </w:r>
    </w:p>
    <w:p w:rsidR="001F4B22" w:rsidRPr="00192568" w:rsidRDefault="001F4B22" w:rsidP="00192568">
      <w:pPr>
        <w:pStyle w:val="ListParagraph"/>
        <w:numPr>
          <w:ilvl w:val="0"/>
          <w:numId w:val="34"/>
        </w:numPr>
        <w:tabs>
          <w:tab w:val="left" w:pos="425"/>
        </w:tabs>
        <w:ind w:left="0" w:firstLine="0"/>
        <w:rPr>
          <w:b/>
          <w:lang w:val="fr-FR"/>
        </w:rPr>
      </w:pPr>
      <w:r w:rsidRPr="00192568">
        <w:rPr>
          <w:lang w:val="fr-FR"/>
        </w:rPr>
        <w:t>Annunziata COLESANTI est née en 1953</w:t>
      </w:r>
      <w:r>
        <w:rPr>
          <w:lang w:val="fr-FR"/>
        </w:rPr>
        <w:t xml:space="preserve"> et</w:t>
      </w:r>
      <w:r w:rsidRPr="00192568">
        <w:rPr>
          <w:lang w:val="fr-FR"/>
        </w:rPr>
        <w:t xml:space="preserve"> résid</w:t>
      </w:r>
      <w:r>
        <w:rPr>
          <w:lang w:val="fr-FR"/>
        </w:rPr>
        <w:t>e</w:t>
      </w:r>
      <w:r w:rsidRPr="00192568">
        <w:rPr>
          <w:lang w:val="fr-FR"/>
        </w:rPr>
        <w:t xml:space="preserve"> à Scalea</w:t>
      </w:r>
    </w:p>
    <w:p w:rsidR="001F4B22" w:rsidRPr="00192568" w:rsidRDefault="001F4B22" w:rsidP="00192568">
      <w:pPr>
        <w:pStyle w:val="ListParagraph"/>
        <w:numPr>
          <w:ilvl w:val="0"/>
          <w:numId w:val="34"/>
        </w:numPr>
        <w:tabs>
          <w:tab w:val="left" w:pos="425"/>
        </w:tabs>
        <w:ind w:left="0" w:firstLine="0"/>
        <w:rPr>
          <w:b/>
          <w:lang w:val="fr-FR"/>
        </w:rPr>
      </w:pPr>
      <w:r w:rsidRPr="00192568">
        <w:rPr>
          <w:lang w:val="fr-FR"/>
        </w:rPr>
        <w:t>Angela Maria D</w:t>
      </w:r>
      <w:r>
        <w:rPr>
          <w:lang w:val="fr-FR"/>
        </w:rPr>
        <w:t>’</w:t>
      </w:r>
      <w:r w:rsidRPr="00192568">
        <w:rPr>
          <w:lang w:val="fr-FR"/>
        </w:rPr>
        <w:t>AMATO est née en 1952</w:t>
      </w:r>
      <w:r>
        <w:rPr>
          <w:lang w:val="fr-FR"/>
        </w:rPr>
        <w:t xml:space="preserve"> et</w:t>
      </w:r>
      <w:r w:rsidRPr="00192568">
        <w:rPr>
          <w:lang w:val="fr-FR"/>
        </w:rPr>
        <w:t xml:space="preserve"> résid</w:t>
      </w:r>
      <w:r>
        <w:rPr>
          <w:lang w:val="fr-FR"/>
        </w:rPr>
        <w:t>e</w:t>
      </w:r>
      <w:r w:rsidRPr="00192568">
        <w:rPr>
          <w:lang w:val="fr-FR"/>
        </w:rPr>
        <w:t xml:space="preserve"> à Cosenza</w:t>
      </w:r>
    </w:p>
    <w:p w:rsidR="001F4B22" w:rsidRPr="00192568" w:rsidRDefault="001F4B22" w:rsidP="00192568">
      <w:pPr>
        <w:pStyle w:val="ListParagraph"/>
        <w:numPr>
          <w:ilvl w:val="0"/>
          <w:numId w:val="34"/>
        </w:numPr>
        <w:tabs>
          <w:tab w:val="left" w:pos="425"/>
        </w:tabs>
        <w:ind w:left="0" w:firstLine="0"/>
        <w:rPr>
          <w:b/>
          <w:lang w:val="fr-FR"/>
        </w:rPr>
      </w:pPr>
      <w:r w:rsidRPr="00192568">
        <w:rPr>
          <w:lang w:val="fr-FR"/>
        </w:rPr>
        <w:t>Anna GALANTUCCI est née en 1954</w:t>
      </w:r>
      <w:r>
        <w:rPr>
          <w:lang w:val="fr-FR"/>
        </w:rPr>
        <w:t xml:space="preserve"> et</w:t>
      </w:r>
      <w:r w:rsidRPr="00192568">
        <w:rPr>
          <w:lang w:val="fr-FR"/>
        </w:rPr>
        <w:t xml:space="preserve"> résid</w:t>
      </w:r>
      <w:r>
        <w:rPr>
          <w:lang w:val="fr-FR"/>
        </w:rPr>
        <w:t>e</w:t>
      </w:r>
      <w:r w:rsidRPr="00192568">
        <w:rPr>
          <w:lang w:val="fr-FR"/>
        </w:rPr>
        <w:t xml:space="preserve"> à Rende</w:t>
      </w:r>
    </w:p>
    <w:p w:rsidR="001F4B22" w:rsidRPr="00192568" w:rsidRDefault="001F4B22" w:rsidP="00192568">
      <w:pPr>
        <w:pStyle w:val="ListParagraph"/>
        <w:numPr>
          <w:ilvl w:val="0"/>
          <w:numId w:val="34"/>
        </w:numPr>
        <w:tabs>
          <w:tab w:val="left" w:pos="425"/>
        </w:tabs>
        <w:ind w:left="0" w:firstLine="0"/>
        <w:rPr>
          <w:b/>
          <w:lang w:val="fr-FR"/>
        </w:rPr>
      </w:pPr>
      <w:r w:rsidRPr="00192568">
        <w:rPr>
          <w:lang w:val="fr-FR"/>
        </w:rPr>
        <w:t>Angela GIARDINELLI est née en 1962</w:t>
      </w:r>
      <w:r>
        <w:rPr>
          <w:lang w:val="fr-FR"/>
        </w:rPr>
        <w:t xml:space="preserve"> et</w:t>
      </w:r>
      <w:r w:rsidRPr="00192568">
        <w:rPr>
          <w:lang w:val="fr-FR"/>
        </w:rPr>
        <w:t xml:space="preserve"> résid</w:t>
      </w:r>
      <w:r>
        <w:rPr>
          <w:lang w:val="fr-FR"/>
        </w:rPr>
        <w:t>e</w:t>
      </w:r>
      <w:r w:rsidRPr="00192568">
        <w:rPr>
          <w:lang w:val="fr-FR"/>
        </w:rPr>
        <w:t xml:space="preserve"> à Belvedere Marittimo</w:t>
      </w:r>
    </w:p>
    <w:p w:rsidR="001F4B22" w:rsidRPr="0074295D" w:rsidRDefault="001F4B22" w:rsidP="00192568">
      <w:pPr>
        <w:pStyle w:val="ListParagraph"/>
        <w:numPr>
          <w:ilvl w:val="0"/>
          <w:numId w:val="34"/>
        </w:numPr>
        <w:tabs>
          <w:tab w:val="left" w:pos="425"/>
        </w:tabs>
        <w:ind w:left="0" w:firstLine="0"/>
        <w:rPr>
          <w:b/>
          <w:lang w:val="fr-FR"/>
        </w:rPr>
      </w:pPr>
      <w:r w:rsidRPr="00192568">
        <w:rPr>
          <w:lang w:val="fr-FR"/>
        </w:rPr>
        <w:t>Lorella MASSENZO est née en 1959</w:t>
      </w:r>
      <w:r>
        <w:rPr>
          <w:lang w:val="fr-FR"/>
        </w:rPr>
        <w:t xml:space="preserve"> et</w:t>
      </w:r>
      <w:r w:rsidRPr="00192568">
        <w:rPr>
          <w:lang w:val="fr-FR"/>
        </w:rPr>
        <w:t xml:space="preserve"> résid</w:t>
      </w:r>
      <w:r>
        <w:rPr>
          <w:lang w:val="fr-FR"/>
        </w:rPr>
        <w:t>e</w:t>
      </w:r>
      <w:r w:rsidRPr="00192568">
        <w:rPr>
          <w:lang w:val="fr-FR"/>
        </w:rPr>
        <w:t xml:space="preserve"> à Cosenza</w:t>
      </w:r>
    </w:p>
    <w:p w:rsidR="001F4B22" w:rsidRPr="00A8607A" w:rsidRDefault="001F4B22" w:rsidP="0074295D">
      <w:pPr>
        <w:pStyle w:val="ListParagraph"/>
        <w:tabs>
          <w:tab w:val="left" w:pos="425"/>
        </w:tabs>
        <w:ind w:left="0"/>
        <w:rPr>
          <w:b/>
          <w:lang w:val="fr-FR"/>
        </w:rPr>
      </w:pPr>
    </w:p>
    <w:p w:rsidR="001F4B22" w:rsidRDefault="001F4B22" w:rsidP="00A8607A">
      <w:pPr>
        <w:pStyle w:val="ListParagraph"/>
        <w:tabs>
          <w:tab w:val="left" w:pos="425"/>
        </w:tabs>
        <w:ind w:left="0"/>
        <w:rPr>
          <w:b/>
          <w:lang w:val="fr-FR"/>
        </w:rPr>
        <w:sectPr w:rsidR="001F4B22" w:rsidSect="000B2C31">
          <w:headerReference w:type="even" r:id="rId10"/>
          <w:headerReference w:type="default" r:id="rId11"/>
          <w:pgSz w:w="11906" w:h="16838" w:code="9"/>
          <w:pgMar w:top="2274" w:right="2274" w:bottom="2274" w:left="2274" w:header="1701" w:footer="720" w:gutter="0"/>
          <w:pgNumType w:start="1"/>
          <w:cols w:space="720"/>
          <w:docGrid w:linePitch="326"/>
        </w:sectPr>
      </w:pPr>
    </w:p>
    <w:p w:rsidR="001F4B22" w:rsidRPr="00333FA9" w:rsidRDefault="001F4B22" w:rsidP="00147404">
      <w:pPr>
        <w:pStyle w:val="ECHRTitleCentre1"/>
        <w:rPr>
          <w:lang w:val="fr-FR"/>
        </w:rPr>
      </w:pPr>
      <w:r w:rsidRPr="00333FA9">
        <w:rPr>
          <w:lang w:val="fr-FR"/>
        </w:rPr>
        <w:t xml:space="preserve">OPINION </w:t>
      </w:r>
      <w:r>
        <w:rPr>
          <w:lang w:val="fr-FR"/>
        </w:rPr>
        <w:t>CONCORDANTE</w:t>
      </w:r>
      <w:r w:rsidRPr="00333FA9">
        <w:rPr>
          <w:lang w:val="fr-FR"/>
        </w:rPr>
        <w:t xml:space="preserve"> D</w:t>
      </w:r>
      <w:r>
        <w:rPr>
          <w:lang w:val="fr-FR"/>
        </w:rPr>
        <w:t>U JUGE WOJTYCZEK</w:t>
      </w:r>
    </w:p>
    <w:p w:rsidR="001F4B22" w:rsidRPr="00F73CE1" w:rsidRDefault="001F4B22" w:rsidP="00F73CE1">
      <w:pPr>
        <w:pStyle w:val="OpiPara"/>
        <w:rPr>
          <w:lang w:val="fr-FR"/>
        </w:rPr>
      </w:pPr>
      <w:r>
        <w:rPr>
          <w:lang w:val="fr-FR"/>
        </w:rPr>
        <w:t>1.  </w:t>
      </w:r>
      <w:r w:rsidRPr="00F73CE1">
        <w:rPr>
          <w:lang w:val="fr-FR"/>
        </w:rPr>
        <w:t>Dans la présente affaire, j</w:t>
      </w:r>
      <w:r>
        <w:rPr>
          <w:lang w:val="fr-FR"/>
        </w:rPr>
        <w:t>’</w:t>
      </w:r>
      <w:r w:rsidRPr="00F73CE1">
        <w:rPr>
          <w:lang w:val="fr-FR"/>
        </w:rPr>
        <w:t>ai voté avec mes collègues pour constater une violation de la Convention, toutefo</w:t>
      </w:r>
      <w:r>
        <w:rPr>
          <w:lang w:val="fr-FR"/>
        </w:rPr>
        <w:t xml:space="preserve">is je ne suis pas convaincu par </w:t>
      </w:r>
      <w:r w:rsidRPr="00F73CE1">
        <w:rPr>
          <w:lang w:val="fr-FR"/>
        </w:rPr>
        <w:t>l</w:t>
      </w:r>
      <w:r>
        <w:rPr>
          <w:lang w:val="fr-FR"/>
        </w:rPr>
        <w:t>’</w:t>
      </w:r>
      <w:r w:rsidRPr="00F73CE1">
        <w:rPr>
          <w:lang w:val="fr-FR"/>
        </w:rPr>
        <w:t>argumentation développée par la majorité.</w:t>
      </w:r>
    </w:p>
    <w:p w:rsidR="001F4B22" w:rsidRPr="00F73CE1" w:rsidRDefault="001F4B22" w:rsidP="00F73CE1">
      <w:pPr>
        <w:pStyle w:val="OpiPara"/>
        <w:rPr>
          <w:lang w:val="fr-FR"/>
        </w:rPr>
      </w:pPr>
    </w:p>
    <w:p w:rsidR="001F4B22" w:rsidRPr="00F73CE1" w:rsidRDefault="001F4B22" w:rsidP="00F73CE1">
      <w:pPr>
        <w:pStyle w:val="OpiPara"/>
        <w:rPr>
          <w:lang w:val="fr-FR"/>
        </w:rPr>
      </w:pPr>
      <w:r>
        <w:rPr>
          <w:lang w:val="fr-FR"/>
        </w:rPr>
        <w:t>2.  </w:t>
      </w:r>
      <w:r w:rsidRPr="00F73CE1">
        <w:rPr>
          <w:lang w:val="fr-FR"/>
        </w:rPr>
        <w:t>Il est indéniable que le droit à un procès équitable présuppose l</w:t>
      </w:r>
      <w:r>
        <w:rPr>
          <w:lang w:val="fr-FR"/>
        </w:rPr>
        <w:t>’</w:t>
      </w:r>
      <w:r w:rsidRPr="00F73CE1">
        <w:rPr>
          <w:lang w:val="fr-FR"/>
        </w:rPr>
        <w:t>obligation de motiver d</w:t>
      </w:r>
      <w:r>
        <w:rPr>
          <w:lang w:val="fr-FR"/>
        </w:rPr>
        <w:t>’</w:t>
      </w:r>
      <w:r w:rsidRPr="00F73CE1">
        <w:rPr>
          <w:lang w:val="fr-FR"/>
        </w:rPr>
        <w:t>une façon adéquate les décisions de justice rendues. La Cour a développé une très riche jurisprudence en matière de motivation des décisions de justice. Selon cette jurisprudence, les garanties implicites de l</w:t>
      </w:r>
      <w:r>
        <w:rPr>
          <w:lang w:val="fr-FR"/>
        </w:rPr>
        <w:t>’</w:t>
      </w:r>
      <w:r w:rsidRPr="00F73CE1">
        <w:rPr>
          <w:lang w:val="fr-FR"/>
        </w:rPr>
        <w:t>article 6 § 1 comprennent l</w:t>
      </w:r>
      <w:r>
        <w:rPr>
          <w:lang w:val="fr-FR"/>
        </w:rPr>
        <w:t>’</w:t>
      </w:r>
      <w:r w:rsidRPr="00F73CE1">
        <w:rPr>
          <w:lang w:val="fr-FR"/>
        </w:rPr>
        <w:t xml:space="preserve">obligation de motiver les décisions de justice (voir par exemple </w:t>
      </w:r>
      <w:r w:rsidRPr="00F73CE1">
        <w:rPr>
          <w:i/>
          <w:lang w:val="fr-FR"/>
        </w:rPr>
        <w:t>H. c. Belgique</w:t>
      </w:r>
      <w:r w:rsidRPr="00F73CE1">
        <w:rPr>
          <w:lang w:val="fr-FR"/>
        </w:rPr>
        <w:t>, § 53). Bien que le juge interne dispose d</w:t>
      </w:r>
      <w:r>
        <w:rPr>
          <w:lang w:val="fr-FR"/>
        </w:rPr>
        <w:t>’</w:t>
      </w:r>
      <w:r w:rsidRPr="00F73CE1">
        <w:rPr>
          <w:lang w:val="fr-FR"/>
        </w:rPr>
        <w:t>une certaine marge d</w:t>
      </w:r>
      <w:r>
        <w:rPr>
          <w:lang w:val="fr-FR"/>
        </w:rPr>
        <w:t>’</w:t>
      </w:r>
      <w:r w:rsidRPr="00F73CE1">
        <w:rPr>
          <w:lang w:val="fr-FR"/>
        </w:rPr>
        <w:t>appréciation dans le choix des arguments et l</w:t>
      </w:r>
      <w:r>
        <w:rPr>
          <w:lang w:val="fr-FR"/>
        </w:rPr>
        <w:t>’</w:t>
      </w:r>
      <w:r w:rsidRPr="00F73CE1">
        <w:rPr>
          <w:lang w:val="fr-FR"/>
        </w:rPr>
        <w:t xml:space="preserve">admission des preuves, il doit justifier ses actions en précisant les raisons de ses décisions (voir par exemple </w:t>
      </w:r>
      <w:r w:rsidRPr="00F73CE1">
        <w:rPr>
          <w:i/>
          <w:lang w:val="fr-FR"/>
        </w:rPr>
        <w:t>Suominen c.</w:t>
      </w:r>
      <w:r>
        <w:rPr>
          <w:i/>
          <w:lang w:val="fr-FR"/>
        </w:rPr>
        <w:t> </w:t>
      </w:r>
      <w:r w:rsidRPr="00F73CE1">
        <w:rPr>
          <w:i/>
          <w:lang w:val="fr-FR"/>
        </w:rPr>
        <w:t>Finlande</w:t>
      </w:r>
      <w:r w:rsidRPr="00F73CE1">
        <w:rPr>
          <w:lang w:val="fr-FR"/>
        </w:rPr>
        <w:t>, § 36). Cela étant, l</w:t>
      </w:r>
      <w:r>
        <w:rPr>
          <w:lang w:val="fr-FR"/>
        </w:rPr>
        <w:t>’</w:t>
      </w:r>
      <w:r w:rsidRPr="00F73CE1">
        <w:rPr>
          <w:lang w:val="fr-FR"/>
        </w:rPr>
        <w:t>article 6 n</w:t>
      </w:r>
      <w:r>
        <w:rPr>
          <w:lang w:val="fr-FR"/>
        </w:rPr>
        <w:t>’</w:t>
      </w:r>
      <w:r w:rsidRPr="00F73CE1">
        <w:rPr>
          <w:lang w:val="fr-FR"/>
        </w:rPr>
        <w:t xml:space="preserve">exige pas une réponse détaillée à chaque argument (voir par exemple </w:t>
      </w:r>
      <w:r w:rsidRPr="00F73CE1">
        <w:rPr>
          <w:i/>
          <w:lang w:val="fr-FR"/>
        </w:rPr>
        <w:t>Van de Hurk c. Pays-Bas</w:t>
      </w:r>
      <w:r w:rsidRPr="00F73CE1">
        <w:rPr>
          <w:lang w:val="fr-FR"/>
        </w:rPr>
        <w:t xml:space="preserve">, § 61, </w:t>
      </w:r>
      <w:r w:rsidRPr="00F73CE1">
        <w:rPr>
          <w:i/>
          <w:lang w:val="fr-FR"/>
        </w:rPr>
        <w:t>Garcia Ruiz c. Espagne</w:t>
      </w:r>
      <w:r w:rsidRPr="00F73CE1">
        <w:rPr>
          <w:lang w:val="fr-FR"/>
        </w:rPr>
        <w:t xml:space="preserve"> [GC], § 26, </w:t>
      </w:r>
      <w:r w:rsidRPr="00F73CE1">
        <w:rPr>
          <w:i/>
          <w:lang w:val="fr-FR"/>
        </w:rPr>
        <w:t>Jahnke et Lenoble c. France</w:t>
      </w:r>
      <w:r w:rsidRPr="00F73CE1">
        <w:rPr>
          <w:lang w:val="fr-FR"/>
        </w:rPr>
        <w:t xml:space="preserve"> (déc.) et </w:t>
      </w:r>
      <w:r w:rsidRPr="00F73CE1">
        <w:rPr>
          <w:i/>
          <w:lang w:val="fr-FR"/>
        </w:rPr>
        <w:t>Perez c.</w:t>
      </w:r>
      <w:r>
        <w:rPr>
          <w:i/>
          <w:lang w:val="fr-FR"/>
        </w:rPr>
        <w:t> </w:t>
      </w:r>
      <w:r w:rsidRPr="00F73CE1">
        <w:rPr>
          <w:i/>
          <w:lang w:val="fr-FR"/>
        </w:rPr>
        <w:t>France</w:t>
      </w:r>
      <w:r w:rsidRPr="00F73CE1">
        <w:rPr>
          <w:lang w:val="fr-FR"/>
        </w:rPr>
        <w:t>, [GC] § 81). De plus, l</w:t>
      </w:r>
      <w:r>
        <w:rPr>
          <w:lang w:val="fr-FR"/>
        </w:rPr>
        <w:t>’</w:t>
      </w:r>
      <w:r w:rsidRPr="00F73CE1">
        <w:rPr>
          <w:lang w:val="fr-FR"/>
        </w:rPr>
        <w:t>étendue de l</w:t>
      </w:r>
      <w:r>
        <w:rPr>
          <w:lang w:val="fr-FR"/>
        </w:rPr>
        <w:t>’</w:t>
      </w:r>
      <w:r w:rsidRPr="00F73CE1">
        <w:rPr>
          <w:lang w:val="fr-FR"/>
        </w:rPr>
        <w:t>obligation de motivation peut varier en fonction de la nature de la décision de justice concernée, et doit s</w:t>
      </w:r>
      <w:r>
        <w:rPr>
          <w:lang w:val="fr-FR"/>
        </w:rPr>
        <w:t>’</w:t>
      </w:r>
      <w:r w:rsidRPr="00F73CE1">
        <w:rPr>
          <w:lang w:val="fr-FR"/>
        </w:rPr>
        <w:t>analyser à la lumière des circonstances de l</w:t>
      </w:r>
      <w:r>
        <w:rPr>
          <w:lang w:val="fr-FR"/>
        </w:rPr>
        <w:t>’</w:t>
      </w:r>
      <w:r w:rsidRPr="00F73CE1">
        <w:rPr>
          <w:lang w:val="fr-FR"/>
        </w:rPr>
        <w:t xml:space="preserve">espèce (voir par exemple de </w:t>
      </w:r>
      <w:r w:rsidRPr="00F73CE1">
        <w:rPr>
          <w:i/>
          <w:lang w:val="fr-FR"/>
        </w:rPr>
        <w:t>Ruiz Torija c. Espagne</w:t>
      </w:r>
      <w:r w:rsidRPr="00F73CE1">
        <w:rPr>
          <w:lang w:val="fr-FR"/>
        </w:rPr>
        <w:t xml:space="preserve">, § 29, et </w:t>
      </w:r>
      <w:r w:rsidRPr="00F73CE1">
        <w:rPr>
          <w:i/>
          <w:lang w:val="fr-FR"/>
        </w:rPr>
        <w:t>Hiro Balani c. Espagne</w:t>
      </w:r>
      <w:r w:rsidRPr="00F73CE1">
        <w:rPr>
          <w:lang w:val="fr-FR"/>
        </w:rPr>
        <w:t>, § 27).</w:t>
      </w:r>
    </w:p>
    <w:p w:rsidR="001F4B22" w:rsidRPr="00F73CE1" w:rsidRDefault="001F4B22" w:rsidP="00F73CE1">
      <w:pPr>
        <w:pStyle w:val="OpiPara"/>
        <w:rPr>
          <w:lang w:val="fr-FR"/>
        </w:rPr>
      </w:pPr>
      <w:r w:rsidRPr="00F73CE1">
        <w:rPr>
          <w:lang w:val="fr-FR"/>
        </w:rPr>
        <w:t>Par ailleurs, selon la jurisprudence de la Cour, la marge d</w:t>
      </w:r>
      <w:r>
        <w:rPr>
          <w:lang w:val="fr-FR"/>
        </w:rPr>
        <w:t>’</w:t>
      </w:r>
      <w:r w:rsidRPr="00F73CE1">
        <w:rPr>
          <w:lang w:val="fr-FR"/>
        </w:rPr>
        <w:t xml:space="preserve">appréciation laissée aux juridictions supérieures est encore plus étendue. La Cour accepte que certains types de recours soient rejetés sans aucune motivation (voir, par exemple, </w:t>
      </w:r>
      <w:r w:rsidRPr="00F73CE1">
        <w:rPr>
          <w:i/>
          <w:lang w:val="fr-FR"/>
        </w:rPr>
        <w:t>Sawoniuk c. Royaume-Uni</w:t>
      </w:r>
      <w:r w:rsidRPr="00F73CE1">
        <w:rPr>
          <w:lang w:val="fr-FR"/>
        </w:rPr>
        <w:t xml:space="preserve">, </w:t>
      </w:r>
      <w:r w:rsidRPr="00F73CE1">
        <w:rPr>
          <w:i/>
          <w:lang w:val="fr-FR"/>
        </w:rPr>
        <w:t>Webb c. Royaume-Uni</w:t>
      </w:r>
      <w:r w:rsidRPr="00F73CE1">
        <w:rPr>
          <w:lang w:val="fr-FR"/>
        </w:rPr>
        <w:t xml:space="preserve">, ou encore </w:t>
      </w:r>
      <w:r>
        <w:rPr>
          <w:i/>
          <w:lang w:val="fr-FR"/>
        </w:rPr>
        <w:t>Lutz </w:t>
      </w:r>
      <w:r w:rsidRPr="00F73CE1">
        <w:rPr>
          <w:i/>
          <w:lang w:val="fr-FR"/>
        </w:rPr>
        <w:t>John c. Allemagne</w:t>
      </w:r>
      <w:r w:rsidRPr="00F73CE1">
        <w:rPr>
          <w:lang w:val="fr-FR"/>
        </w:rPr>
        <w:t>). La Cour a elle-même développé une pratique constante selon laquelle elle ne motive pas les décisions rendues par un juge unique déclarant une requête irrecevable.</w:t>
      </w:r>
    </w:p>
    <w:p w:rsidR="001F4B22" w:rsidRPr="00F73CE1" w:rsidRDefault="001F4B22" w:rsidP="00F73CE1">
      <w:pPr>
        <w:pStyle w:val="OpiPara"/>
        <w:rPr>
          <w:lang w:val="fr-FR"/>
        </w:rPr>
      </w:pPr>
      <w:r w:rsidRPr="00F73CE1">
        <w:rPr>
          <w:lang w:val="fr-FR"/>
        </w:rPr>
        <w:t>Il est important aussi de noter que la jurisprudence de la Cour aboutit à laisser aux États une marge d</w:t>
      </w:r>
      <w:r>
        <w:rPr>
          <w:lang w:val="fr-FR"/>
        </w:rPr>
        <w:t>’</w:t>
      </w:r>
      <w:r w:rsidRPr="00F73CE1">
        <w:rPr>
          <w:lang w:val="fr-FR"/>
        </w:rPr>
        <w:t>appréciation particulièrement large en ce qui concerne la motivation des décisions de justice en droit pénal. Ainsi, la Cour a admis dans certaines décisions que l</w:t>
      </w:r>
      <w:r>
        <w:rPr>
          <w:lang w:val="fr-FR"/>
        </w:rPr>
        <w:t>’</w:t>
      </w:r>
      <w:r w:rsidRPr="00F73CE1">
        <w:rPr>
          <w:lang w:val="fr-FR"/>
        </w:rPr>
        <w:t xml:space="preserve">article 6 ne requiert pas que les jurés donnent les raisons de leur décision (voir par exemple la décision </w:t>
      </w:r>
      <w:r>
        <w:rPr>
          <w:i/>
          <w:lang w:val="fr-FR"/>
        </w:rPr>
        <w:t>Saric c. </w:t>
      </w:r>
      <w:r w:rsidRPr="00F73CE1">
        <w:rPr>
          <w:i/>
          <w:lang w:val="fr-FR"/>
        </w:rPr>
        <w:t>Danemark</w:t>
      </w:r>
      <w:r w:rsidRPr="00F73CE1">
        <w:rPr>
          <w:lang w:val="fr-FR"/>
        </w:rPr>
        <w:t>). Elle considère que « devant les cours d</w:t>
      </w:r>
      <w:r>
        <w:rPr>
          <w:lang w:val="fr-FR"/>
        </w:rPr>
        <w:t>’</w:t>
      </w:r>
      <w:r w:rsidRPr="00F73CE1">
        <w:rPr>
          <w:lang w:val="fr-FR"/>
        </w:rPr>
        <w:t>assises avec participation d</w:t>
      </w:r>
      <w:r>
        <w:rPr>
          <w:lang w:val="fr-FR"/>
        </w:rPr>
        <w:t>’</w:t>
      </w:r>
      <w:r w:rsidRPr="00F73CE1">
        <w:rPr>
          <w:lang w:val="fr-FR"/>
        </w:rPr>
        <w:t>un jury populaire, il faut s</w:t>
      </w:r>
      <w:r>
        <w:rPr>
          <w:lang w:val="fr-FR"/>
        </w:rPr>
        <w:t>’</w:t>
      </w:r>
      <w:r w:rsidRPr="00F73CE1">
        <w:rPr>
          <w:lang w:val="fr-FR"/>
        </w:rPr>
        <w:t>accommoder des particularités de la procédure où, le plus souvent, les jurés ne sont pas tenus de – ou ne peuvent pas – motiver leur conviction (paragraphes 85-89 ci-dessus). Dans ce cas également, l</w:t>
      </w:r>
      <w:r>
        <w:rPr>
          <w:lang w:val="fr-FR"/>
        </w:rPr>
        <w:t>’</w:t>
      </w:r>
      <w:r w:rsidRPr="00F73CE1">
        <w:rPr>
          <w:lang w:val="fr-FR"/>
        </w:rPr>
        <w:t>article 6 exige de rechercher si l</w:t>
      </w:r>
      <w:r>
        <w:rPr>
          <w:lang w:val="fr-FR"/>
        </w:rPr>
        <w:t>’</w:t>
      </w:r>
      <w:r w:rsidRPr="00F73CE1">
        <w:rPr>
          <w:lang w:val="fr-FR"/>
        </w:rPr>
        <w:t>accusé a pu bénéficier des garanties suffisantes de nature à écarter tout risque d</w:t>
      </w:r>
      <w:r>
        <w:rPr>
          <w:lang w:val="fr-FR"/>
        </w:rPr>
        <w:t>’</w:t>
      </w:r>
      <w:r w:rsidRPr="00F73CE1">
        <w:rPr>
          <w:lang w:val="fr-FR"/>
        </w:rPr>
        <w:t>arbitraire et à lui permettre de comprendre les raisons de sa</w:t>
      </w:r>
      <w:r>
        <w:rPr>
          <w:lang w:val="fr-FR"/>
        </w:rPr>
        <w:t xml:space="preserve"> condamnation (paragraphe 90 ci</w:t>
      </w:r>
      <w:r>
        <w:rPr>
          <w:lang w:val="fr-FR"/>
        </w:rPr>
        <w:noBreakHyphen/>
        <w:t>d</w:t>
      </w:r>
      <w:r w:rsidRPr="00F73CE1">
        <w:rPr>
          <w:lang w:val="fr-FR"/>
        </w:rPr>
        <w:t>essus) » (</w:t>
      </w:r>
      <w:r w:rsidRPr="00F73CE1">
        <w:rPr>
          <w:i/>
          <w:lang w:val="fr-FR"/>
        </w:rPr>
        <w:t>Taxquet c. Belgique</w:t>
      </w:r>
      <w:r w:rsidRPr="00F73CE1">
        <w:rPr>
          <w:lang w:val="fr-FR"/>
        </w:rPr>
        <w:t xml:space="preserve">, § 92). De plus, dans la décision </w:t>
      </w:r>
      <w:r w:rsidRPr="00F73CE1">
        <w:rPr>
          <w:i/>
          <w:lang w:val="fr-FR"/>
        </w:rPr>
        <w:t>Judge c.</w:t>
      </w:r>
      <w:r>
        <w:rPr>
          <w:i/>
          <w:lang w:val="fr-FR"/>
        </w:rPr>
        <w:t> </w:t>
      </w:r>
      <w:r w:rsidRPr="00F73CE1">
        <w:rPr>
          <w:i/>
          <w:lang w:val="fr-FR"/>
        </w:rPr>
        <w:t>Royaume-Uni</w:t>
      </w:r>
      <w:r w:rsidRPr="00F73CE1">
        <w:rPr>
          <w:lang w:val="fr-FR"/>
        </w:rPr>
        <w:t>, la Cour a jugé que les différentes garanties offertes à l</w:t>
      </w:r>
      <w:r>
        <w:rPr>
          <w:lang w:val="fr-FR"/>
        </w:rPr>
        <w:t>’</w:t>
      </w:r>
      <w:r w:rsidRPr="00F73CE1">
        <w:rPr>
          <w:lang w:val="fr-FR"/>
        </w:rPr>
        <w:t>accusé en droit écossais étaient suffisantes pour accepter que le verdict rendu par un jury ne soit pas motivé.</w:t>
      </w:r>
    </w:p>
    <w:p w:rsidR="001F4B22" w:rsidRPr="00F73CE1" w:rsidRDefault="001F4B22" w:rsidP="00F73CE1">
      <w:pPr>
        <w:pStyle w:val="OpiPara"/>
        <w:rPr>
          <w:lang w:val="fr-FR"/>
        </w:rPr>
      </w:pPr>
    </w:p>
    <w:p w:rsidR="001F4B22" w:rsidRPr="00F73CE1" w:rsidRDefault="001F4B22" w:rsidP="00F73CE1">
      <w:pPr>
        <w:pStyle w:val="OpiPara"/>
        <w:rPr>
          <w:lang w:val="fr-FR"/>
        </w:rPr>
      </w:pPr>
      <w:r>
        <w:rPr>
          <w:lang w:val="fr-FR"/>
        </w:rPr>
        <w:t>3.  </w:t>
      </w:r>
      <w:r w:rsidRPr="00F73CE1">
        <w:rPr>
          <w:lang w:val="fr-FR"/>
        </w:rPr>
        <w:t>À mon avis, le paramètre principal dont il faudrait tenir compte en appliquant l</w:t>
      </w:r>
      <w:r>
        <w:rPr>
          <w:lang w:val="fr-FR"/>
        </w:rPr>
        <w:t>’</w:t>
      </w:r>
      <w:r w:rsidRPr="00F73CE1">
        <w:rPr>
          <w:lang w:val="fr-FR"/>
        </w:rPr>
        <w:t>obligation de motiver les décisions de justice est la gravité de l</w:t>
      </w:r>
      <w:r>
        <w:rPr>
          <w:lang w:val="fr-FR"/>
        </w:rPr>
        <w:t>’</w:t>
      </w:r>
      <w:r w:rsidRPr="00F73CE1">
        <w:rPr>
          <w:lang w:val="fr-FR"/>
        </w:rPr>
        <w:t>ingérence dans la sphère des droits de l</w:t>
      </w:r>
      <w:r>
        <w:rPr>
          <w:lang w:val="fr-FR"/>
        </w:rPr>
        <w:t>’</w:t>
      </w:r>
      <w:r w:rsidRPr="00F73CE1">
        <w:rPr>
          <w:lang w:val="fr-FR"/>
        </w:rPr>
        <w:t>homme. Bien évidemment, d</w:t>
      </w:r>
      <w:r>
        <w:rPr>
          <w:lang w:val="fr-FR"/>
        </w:rPr>
        <w:t>’</w:t>
      </w:r>
      <w:r w:rsidRPr="00F73CE1">
        <w:rPr>
          <w:lang w:val="fr-FR"/>
        </w:rPr>
        <w:t>autres facteurs entrent aussi en compte, comme le caractère incident ou principal de la question tranchée ou l</w:t>
      </w:r>
      <w:r>
        <w:rPr>
          <w:lang w:val="fr-FR"/>
        </w:rPr>
        <w:t>’</w:t>
      </w:r>
      <w:r w:rsidRPr="00F73CE1">
        <w:rPr>
          <w:lang w:val="fr-FR"/>
        </w:rPr>
        <w:t>urgence à statuer. Toutefois, la qualité de la motivation doit être modulée en fonction de la gravité de l</w:t>
      </w:r>
      <w:r>
        <w:rPr>
          <w:lang w:val="fr-FR"/>
        </w:rPr>
        <w:t>’</w:t>
      </w:r>
      <w:r w:rsidRPr="00F73CE1">
        <w:rPr>
          <w:lang w:val="fr-FR"/>
        </w:rPr>
        <w:t>ingérence dans la sphère des droits de l</w:t>
      </w:r>
      <w:r>
        <w:rPr>
          <w:lang w:val="fr-FR"/>
        </w:rPr>
        <w:t>’</w:t>
      </w:r>
      <w:r w:rsidRPr="00F73CE1">
        <w:rPr>
          <w:lang w:val="fr-FR"/>
        </w:rPr>
        <w:t>homme. Plus cette ingérence est poussée, plus la motivation de la décision de justice doit être détaillée et appuyée par des arguments forts. Or, je note que l</w:t>
      </w:r>
      <w:r>
        <w:rPr>
          <w:lang w:val="fr-FR"/>
        </w:rPr>
        <w:t>’</w:t>
      </w:r>
      <w:r w:rsidRPr="00F73CE1">
        <w:rPr>
          <w:lang w:val="fr-FR"/>
        </w:rPr>
        <w:t>étendue de la latitude d</w:t>
      </w:r>
      <w:r>
        <w:rPr>
          <w:lang w:val="fr-FR"/>
        </w:rPr>
        <w:t>’</w:t>
      </w:r>
      <w:r w:rsidRPr="00F73CE1">
        <w:rPr>
          <w:lang w:val="fr-FR"/>
        </w:rPr>
        <w:t>action laissée par la Cour aux États en matière de motivation des décisions de justice n</w:t>
      </w:r>
      <w:r>
        <w:rPr>
          <w:lang w:val="fr-FR"/>
        </w:rPr>
        <w:t>’</w:t>
      </w:r>
      <w:r w:rsidRPr="00F73CE1">
        <w:rPr>
          <w:lang w:val="fr-FR"/>
        </w:rPr>
        <w:t>est pas toujours adaptée à la gravité de l</w:t>
      </w:r>
      <w:r>
        <w:rPr>
          <w:lang w:val="fr-FR"/>
        </w:rPr>
        <w:t>’</w:t>
      </w:r>
      <w:r w:rsidRPr="00F73CE1">
        <w:rPr>
          <w:lang w:val="fr-FR"/>
        </w:rPr>
        <w:t>ingérence dans la sphère des droits de l</w:t>
      </w:r>
      <w:r>
        <w:rPr>
          <w:lang w:val="fr-FR"/>
        </w:rPr>
        <w:t>’</w:t>
      </w:r>
      <w:r w:rsidRPr="00F73CE1">
        <w:rPr>
          <w:lang w:val="fr-FR"/>
        </w:rPr>
        <w:t>homme, surtout si cette ingérence est de nature pénale. Dans ce contexte, on peut légitimement se poser la question de la cohérence et de la force persuasive de la jurisprudence développée par la Cour. L</w:t>
      </w:r>
      <w:r>
        <w:rPr>
          <w:lang w:val="fr-FR"/>
        </w:rPr>
        <w:t>’</w:t>
      </w:r>
      <w:r w:rsidRPr="00F73CE1">
        <w:rPr>
          <w:lang w:val="fr-FR"/>
        </w:rPr>
        <w:t>approche adoptée nécessite donc d</w:t>
      </w:r>
      <w:r>
        <w:rPr>
          <w:lang w:val="fr-FR"/>
        </w:rPr>
        <w:t>’</w:t>
      </w:r>
      <w:r w:rsidRPr="00F73CE1">
        <w:rPr>
          <w:lang w:val="fr-FR"/>
        </w:rPr>
        <w:t>être repensée et révisée.</w:t>
      </w:r>
    </w:p>
    <w:p w:rsidR="001F4B22" w:rsidRPr="00F73CE1" w:rsidRDefault="001F4B22" w:rsidP="00F73CE1">
      <w:pPr>
        <w:pStyle w:val="OpiPara"/>
        <w:rPr>
          <w:lang w:val="fr-FR"/>
        </w:rPr>
      </w:pPr>
    </w:p>
    <w:p w:rsidR="001F4B22" w:rsidRPr="00F73CE1" w:rsidRDefault="001F4B22" w:rsidP="00F73CE1">
      <w:pPr>
        <w:pStyle w:val="OpiPara"/>
        <w:rPr>
          <w:lang w:val="fr-FR"/>
        </w:rPr>
      </w:pPr>
      <w:r>
        <w:rPr>
          <w:lang w:val="fr-FR"/>
        </w:rPr>
        <w:t>4.  </w:t>
      </w:r>
      <w:r w:rsidRPr="00F73CE1">
        <w:rPr>
          <w:lang w:val="fr-FR"/>
        </w:rPr>
        <w:t>Il faut souligner ici que l</w:t>
      </w:r>
      <w:r>
        <w:rPr>
          <w:lang w:val="fr-FR"/>
        </w:rPr>
        <w:t>’</w:t>
      </w:r>
      <w:r w:rsidRPr="00F73CE1">
        <w:rPr>
          <w:lang w:val="fr-FR"/>
        </w:rPr>
        <w:t>obligation de motiver les décisions de justice peut aussi découler d</w:t>
      </w:r>
      <w:r>
        <w:rPr>
          <w:lang w:val="fr-FR"/>
        </w:rPr>
        <w:t>’</w:t>
      </w:r>
      <w:r w:rsidRPr="00F73CE1">
        <w:rPr>
          <w:lang w:val="fr-FR"/>
        </w:rPr>
        <w:t xml:space="preserve">autres dispositions matérielles de la Convention. Selon la jurisprudence de la Cour, une ingérence des autorités nationales dans les libertés protégées par la Convexion doit être justifiée par des motifs pertinents et suffisants (voir par exemple </w:t>
      </w:r>
      <w:r w:rsidRPr="00F73CE1">
        <w:rPr>
          <w:i/>
          <w:lang w:val="fr-FR"/>
        </w:rPr>
        <w:t>Morice c. France</w:t>
      </w:r>
      <w:r w:rsidRPr="00F73CE1">
        <w:rPr>
          <w:lang w:val="fr-FR"/>
        </w:rPr>
        <w:t>, § 144). Si l</w:t>
      </w:r>
      <w:r>
        <w:rPr>
          <w:lang w:val="fr-FR"/>
        </w:rPr>
        <w:t>’</w:t>
      </w:r>
      <w:r w:rsidRPr="00F73CE1">
        <w:rPr>
          <w:lang w:val="fr-FR"/>
        </w:rPr>
        <w:t>ingérence prend la forme d</w:t>
      </w:r>
      <w:r>
        <w:rPr>
          <w:lang w:val="fr-FR"/>
        </w:rPr>
        <w:t>’</w:t>
      </w:r>
      <w:r w:rsidRPr="00F73CE1">
        <w:rPr>
          <w:lang w:val="fr-FR"/>
        </w:rPr>
        <w:t>une décision de justice, il en découle que le juge qui rend cette décision doit donner des motifs pertinents et suffisants.</w:t>
      </w:r>
    </w:p>
    <w:p w:rsidR="001F4B22" w:rsidRPr="00F73CE1" w:rsidRDefault="001F4B22" w:rsidP="00F73CE1">
      <w:pPr>
        <w:pStyle w:val="OpiPara"/>
        <w:rPr>
          <w:lang w:val="fr-FR"/>
        </w:rPr>
      </w:pPr>
    </w:p>
    <w:p w:rsidR="001F4B22" w:rsidRPr="00F73CE1" w:rsidRDefault="001F4B22" w:rsidP="00F73CE1">
      <w:pPr>
        <w:pStyle w:val="OpiPara"/>
        <w:rPr>
          <w:lang w:val="fr-FR"/>
        </w:rPr>
      </w:pPr>
      <w:r>
        <w:rPr>
          <w:lang w:val="fr-FR"/>
        </w:rPr>
        <w:t>5.  </w:t>
      </w:r>
      <w:r w:rsidRPr="00F73CE1">
        <w:rPr>
          <w:lang w:val="fr-FR"/>
        </w:rPr>
        <w:t>La jurisprudence de la Cour relative au refus de poser une question préjudicielle à la Cour de justice de l</w:t>
      </w:r>
      <w:r>
        <w:rPr>
          <w:lang w:val="fr-FR"/>
        </w:rPr>
        <w:t>’</w:t>
      </w:r>
      <w:r w:rsidRPr="00F73CE1">
        <w:rPr>
          <w:lang w:val="fr-FR"/>
        </w:rPr>
        <w:t>Union européenne a évolué au fil du temps. À l</w:t>
      </w:r>
      <w:r>
        <w:rPr>
          <w:lang w:val="fr-FR"/>
        </w:rPr>
        <w:t>’</w:t>
      </w:r>
      <w:r w:rsidRPr="00F73CE1">
        <w:rPr>
          <w:lang w:val="fr-FR"/>
        </w:rPr>
        <w:t>origine, la Cour semble avoir adopté un critère centré sur la question de l</w:t>
      </w:r>
      <w:r>
        <w:rPr>
          <w:lang w:val="fr-FR"/>
        </w:rPr>
        <w:t>’</w:t>
      </w:r>
      <w:r w:rsidRPr="00F73CE1">
        <w:rPr>
          <w:lang w:val="fr-FR"/>
        </w:rPr>
        <w:t>arbitraire, jugeant qu</w:t>
      </w:r>
      <w:r>
        <w:rPr>
          <w:lang w:val="fr-FR"/>
        </w:rPr>
        <w:t>’</w:t>
      </w:r>
      <w:r w:rsidRPr="00F73CE1">
        <w:rPr>
          <w:lang w:val="fr-FR"/>
        </w:rPr>
        <w:t xml:space="preserve">un tel refus ne devait pas être arbitraire. Ainsi, dans la décision </w:t>
      </w:r>
      <w:r w:rsidRPr="00F73CE1">
        <w:rPr>
          <w:i/>
          <w:lang w:val="fr-FR"/>
        </w:rPr>
        <w:t>Coëme</w:t>
      </w:r>
      <w:r w:rsidRPr="00F73CE1">
        <w:rPr>
          <w:lang w:val="fr-FR"/>
        </w:rPr>
        <w:t>, elle a estimé qu</w:t>
      </w:r>
      <w:r>
        <w:rPr>
          <w:lang w:val="fr-FR"/>
        </w:rPr>
        <w:t>’</w:t>
      </w:r>
      <w:r w:rsidRPr="00F73CE1">
        <w:rPr>
          <w:lang w:val="fr-FR"/>
        </w:rPr>
        <w:t>il était « conforme au fonctionnement [d</w:t>
      </w:r>
      <w:r>
        <w:rPr>
          <w:lang w:val="fr-FR"/>
        </w:rPr>
        <w:t>’</w:t>
      </w:r>
      <w:r w:rsidRPr="00F73CE1">
        <w:rPr>
          <w:lang w:val="fr-FR"/>
        </w:rPr>
        <w:t>un] mécanisme [de question préjudicielle] que le juge vérifie s</w:t>
      </w:r>
      <w:r>
        <w:rPr>
          <w:lang w:val="fr-FR"/>
        </w:rPr>
        <w:t>’</w:t>
      </w:r>
      <w:r w:rsidRPr="00F73CE1">
        <w:rPr>
          <w:lang w:val="fr-FR"/>
        </w:rPr>
        <w:t>il peut ou doit poser une question préjudicielle, en s</w:t>
      </w:r>
      <w:r>
        <w:rPr>
          <w:lang w:val="fr-FR"/>
        </w:rPr>
        <w:t>’</w:t>
      </w:r>
      <w:r w:rsidRPr="00F73CE1">
        <w:rPr>
          <w:lang w:val="fr-FR"/>
        </w:rPr>
        <w:t>assurant que celle-ci doit être résolue pour permettre de trancher le litige dont il est appelé à connaître ». Elle a alors ajouté : « Cela étant, il n</w:t>
      </w:r>
      <w:r>
        <w:rPr>
          <w:lang w:val="fr-FR"/>
        </w:rPr>
        <w:t>’</w:t>
      </w:r>
      <w:r w:rsidRPr="00F73CE1">
        <w:rPr>
          <w:lang w:val="fr-FR"/>
        </w:rPr>
        <w:t>est pas exclu que, dans certaines circonstances, le refus opposé par une juridiction nationale, appelée à se prononcer en dernière instance, puisse porter atteinte au principe de l</w:t>
      </w:r>
      <w:r>
        <w:rPr>
          <w:lang w:val="fr-FR"/>
        </w:rPr>
        <w:t>’</w:t>
      </w:r>
      <w:r w:rsidRPr="00F73CE1">
        <w:rPr>
          <w:lang w:val="fr-FR"/>
        </w:rPr>
        <w:t>équité de la procédure, tel qu</w:t>
      </w:r>
      <w:r>
        <w:rPr>
          <w:lang w:val="fr-FR"/>
        </w:rPr>
        <w:t>’</w:t>
      </w:r>
      <w:r w:rsidRPr="00F73CE1">
        <w:rPr>
          <w:lang w:val="fr-FR"/>
        </w:rPr>
        <w:t>énoncé à l</w:t>
      </w:r>
      <w:r>
        <w:rPr>
          <w:lang w:val="fr-FR"/>
        </w:rPr>
        <w:t>’</w:t>
      </w:r>
      <w:r w:rsidRPr="00F73CE1">
        <w:rPr>
          <w:lang w:val="fr-FR"/>
        </w:rPr>
        <w:t>article 6 § 1 de la Convention, en particulier lorsqu</w:t>
      </w:r>
      <w:r>
        <w:rPr>
          <w:lang w:val="fr-FR"/>
        </w:rPr>
        <w:t>’</w:t>
      </w:r>
      <w:r w:rsidRPr="00F73CE1">
        <w:rPr>
          <w:lang w:val="fr-FR"/>
        </w:rPr>
        <w:t>un tel refus apparaît comme entaché d</w:t>
      </w:r>
      <w:r>
        <w:rPr>
          <w:lang w:val="fr-FR"/>
        </w:rPr>
        <w:t>’</w:t>
      </w:r>
      <w:r w:rsidRPr="00F73CE1">
        <w:rPr>
          <w:lang w:val="fr-FR"/>
        </w:rPr>
        <w:t>arbitraire (</w:t>
      </w:r>
      <w:r>
        <w:rPr>
          <w:i/>
          <w:lang w:val="fr-FR"/>
        </w:rPr>
        <w:t>Dotta c. </w:t>
      </w:r>
      <w:r w:rsidRPr="00F73CE1">
        <w:rPr>
          <w:i/>
          <w:lang w:val="fr-FR"/>
        </w:rPr>
        <w:t>Italie</w:t>
      </w:r>
      <w:r w:rsidRPr="00F73CE1">
        <w:rPr>
          <w:lang w:val="fr-FR"/>
        </w:rPr>
        <w:t xml:space="preserve"> (déc.), n</w:t>
      </w:r>
      <w:r w:rsidRPr="00F73CE1">
        <w:rPr>
          <w:vertAlign w:val="superscript"/>
          <w:lang w:val="fr-FR"/>
        </w:rPr>
        <w:t>o</w:t>
      </w:r>
      <w:r w:rsidRPr="00F73CE1">
        <w:rPr>
          <w:lang w:val="fr-FR"/>
        </w:rPr>
        <w:t xml:space="preserve"> 38399/97, 7 septembre 1999, non publiée ; </w:t>
      </w:r>
      <w:r>
        <w:rPr>
          <w:i/>
          <w:lang w:val="fr-FR"/>
        </w:rPr>
        <w:t>Predil Anstalt </w:t>
      </w:r>
      <w:r w:rsidRPr="00F73CE1">
        <w:rPr>
          <w:i/>
          <w:lang w:val="fr-FR"/>
        </w:rPr>
        <w:t>S.A. c. Italie</w:t>
      </w:r>
      <w:r w:rsidRPr="00F73CE1">
        <w:rPr>
          <w:lang w:val="fr-FR"/>
        </w:rPr>
        <w:t xml:space="preserve"> (déc.), n</w:t>
      </w:r>
      <w:r w:rsidRPr="00F73CE1">
        <w:rPr>
          <w:vertAlign w:val="superscript"/>
          <w:lang w:val="fr-FR"/>
        </w:rPr>
        <w:t>o</w:t>
      </w:r>
      <w:r w:rsidRPr="00F73CE1">
        <w:rPr>
          <w:lang w:val="fr-FR"/>
        </w:rPr>
        <w:t> 31993/96, 8 juin 1999, non publiée). »</w:t>
      </w:r>
    </w:p>
    <w:p w:rsidR="001F4B22" w:rsidRPr="00F73CE1" w:rsidRDefault="001F4B22" w:rsidP="00F73CE1">
      <w:pPr>
        <w:pStyle w:val="OpiPara"/>
        <w:rPr>
          <w:lang w:val="fr-FR"/>
        </w:rPr>
      </w:pPr>
      <w:r w:rsidRPr="00F73CE1">
        <w:rPr>
          <w:lang w:val="fr-FR"/>
        </w:rPr>
        <w:t>Dans un deuxième temps, la Cour a déduit de l</w:t>
      </w:r>
      <w:r>
        <w:rPr>
          <w:lang w:val="fr-FR"/>
        </w:rPr>
        <w:t>’</w:t>
      </w:r>
      <w:r w:rsidRPr="00F73CE1">
        <w:rPr>
          <w:lang w:val="fr-FR"/>
        </w:rPr>
        <w:t>article 6 de la Convention l</w:t>
      </w:r>
      <w:r>
        <w:rPr>
          <w:lang w:val="fr-FR"/>
        </w:rPr>
        <w:t>’</w:t>
      </w:r>
      <w:r w:rsidRPr="00F73CE1">
        <w:rPr>
          <w:lang w:val="fr-FR"/>
        </w:rPr>
        <w:t>obligation de motiver les refus de poser une question préjudicielle à la Cour de justice de l</w:t>
      </w:r>
      <w:r>
        <w:rPr>
          <w:lang w:val="fr-FR"/>
        </w:rPr>
        <w:t>’</w:t>
      </w:r>
      <w:r w:rsidRPr="00F73CE1">
        <w:rPr>
          <w:lang w:val="fr-FR"/>
        </w:rPr>
        <w:t>Union européenne émanant d</w:t>
      </w:r>
      <w:r>
        <w:rPr>
          <w:lang w:val="fr-FR"/>
        </w:rPr>
        <w:t>’</w:t>
      </w:r>
      <w:r w:rsidRPr="00F73CE1">
        <w:rPr>
          <w:lang w:val="fr-FR"/>
        </w:rPr>
        <w:t>une juridiction nationale dont les décisions ne sont pas susceptibles de recours (</w:t>
      </w:r>
      <w:r w:rsidRPr="00F73CE1">
        <w:rPr>
          <w:i/>
          <w:lang w:val="fr-FR"/>
        </w:rPr>
        <w:t>Ullens c. Belgique</w:t>
      </w:r>
      <w:r w:rsidRPr="00F73CE1">
        <w:rPr>
          <w:lang w:val="fr-FR"/>
        </w:rPr>
        <w:t>). Elle a alors expliqué que le refus s</w:t>
      </w:r>
      <w:r>
        <w:rPr>
          <w:lang w:val="fr-FR"/>
        </w:rPr>
        <w:t>’</w:t>
      </w:r>
      <w:r w:rsidRPr="00F73CE1">
        <w:rPr>
          <w:lang w:val="fr-FR"/>
        </w:rPr>
        <w:t>avère arbitraire si « les normes applicables ne prévoient pas d</w:t>
      </w:r>
      <w:r>
        <w:rPr>
          <w:lang w:val="fr-FR"/>
        </w:rPr>
        <w:t>’</w:t>
      </w:r>
      <w:r w:rsidRPr="00F73CE1">
        <w:rPr>
          <w:lang w:val="fr-FR"/>
        </w:rPr>
        <w:t>exception au principe de renvoi préjudiciel ou d</w:t>
      </w:r>
      <w:r>
        <w:rPr>
          <w:lang w:val="fr-FR"/>
        </w:rPr>
        <w:t>’</w:t>
      </w:r>
      <w:r w:rsidRPr="00F73CE1">
        <w:rPr>
          <w:lang w:val="fr-FR"/>
        </w:rPr>
        <w:t>aménagement de celui-ci, lorsque le refus se fonde sur d</w:t>
      </w:r>
      <w:r>
        <w:rPr>
          <w:lang w:val="fr-FR"/>
        </w:rPr>
        <w:t>’</w:t>
      </w:r>
      <w:r w:rsidRPr="00F73CE1">
        <w:rPr>
          <w:lang w:val="fr-FR"/>
        </w:rPr>
        <w:t>autres raisons que celles qui sont prévues par ces normes, et lorsqu</w:t>
      </w:r>
      <w:r>
        <w:rPr>
          <w:lang w:val="fr-FR"/>
        </w:rPr>
        <w:t>’</w:t>
      </w:r>
      <w:r w:rsidRPr="00F73CE1">
        <w:rPr>
          <w:lang w:val="fr-FR"/>
        </w:rPr>
        <w:t>il n</w:t>
      </w:r>
      <w:r>
        <w:rPr>
          <w:lang w:val="fr-FR"/>
        </w:rPr>
        <w:t>’</w:t>
      </w:r>
      <w:r w:rsidRPr="00F73CE1">
        <w:rPr>
          <w:lang w:val="fr-FR"/>
        </w:rPr>
        <w:t>est pas dûment motivé au regard de celles-ci » (</w:t>
      </w:r>
      <w:r w:rsidRPr="00F73CE1">
        <w:rPr>
          <w:i/>
          <w:lang w:val="fr-FR"/>
        </w:rPr>
        <w:t>ibidem</w:t>
      </w:r>
      <w:r w:rsidRPr="00F73CE1">
        <w:rPr>
          <w:lang w:val="fr-FR"/>
        </w:rPr>
        <w:t xml:space="preserve">, § 59 </w:t>
      </w:r>
      <w:r w:rsidRPr="00F73CE1">
        <w:rPr>
          <w:i/>
          <w:lang w:val="fr-FR"/>
        </w:rPr>
        <w:t>in fine</w:t>
      </w:r>
      <w:r w:rsidRPr="00F73CE1">
        <w:rPr>
          <w:lang w:val="fr-FR"/>
        </w:rPr>
        <w:t>), ajoutant : « l</w:t>
      </w:r>
      <w:r>
        <w:rPr>
          <w:lang w:val="fr-FR"/>
        </w:rPr>
        <w:t>’</w:t>
      </w:r>
      <w:r w:rsidRPr="00F73CE1">
        <w:rPr>
          <w:lang w:val="fr-FR"/>
        </w:rPr>
        <w:t>article 6 § 1 met dans ce contexte à la charge des juridictions internes une obligation de motiver au regard du droit applicable les décisions par lesquelles elles refusent de poser une question préjudicielle, d</w:t>
      </w:r>
      <w:r>
        <w:rPr>
          <w:lang w:val="fr-FR"/>
        </w:rPr>
        <w:t>’</w:t>
      </w:r>
      <w:r w:rsidRPr="00F73CE1">
        <w:rPr>
          <w:lang w:val="fr-FR"/>
        </w:rPr>
        <w:t>autant plus lorsque le droit applicable n</w:t>
      </w:r>
      <w:r>
        <w:rPr>
          <w:lang w:val="fr-FR"/>
        </w:rPr>
        <w:t>’</w:t>
      </w:r>
      <w:r w:rsidRPr="00F73CE1">
        <w:rPr>
          <w:lang w:val="fr-FR"/>
        </w:rPr>
        <w:t>admet un tel refus qu</w:t>
      </w:r>
      <w:r>
        <w:rPr>
          <w:lang w:val="fr-FR"/>
        </w:rPr>
        <w:t>’</w:t>
      </w:r>
      <w:r w:rsidRPr="00F73CE1">
        <w:rPr>
          <w:lang w:val="fr-FR"/>
        </w:rPr>
        <w:t>à titre d</w:t>
      </w:r>
      <w:r>
        <w:rPr>
          <w:lang w:val="fr-FR"/>
        </w:rPr>
        <w:t>’</w:t>
      </w:r>
      <w:r w:rsidRPr="00F73CE1">
        <w:rPr>
          <w:lang w:val="fr-FR"/>
        </w:rPr>
        <w:t>exception » (</w:t>
      </w:r>
      <w:r w:rsidRPr="00F73CE1">
        <w:rPr>
          <w:i/>
          <w:lang w:val="fr-FR"/>
        </w:rPr>
        <w:t>ibidem</w:t>
      </w:r>
      <w:r w:rsidRPr="00F73CE1">
        <w:rPr>
          <w:lang w:val="fr-FR"/>
        </w:rPr>
        <w:t>, § 60). Cette jurisprudence a ensuite été confirmée par d</w:t>
      </w:r>
      <w:r>
        <w:rPr>
          <w:lang w:val="fr-FR"/>
        </w:rPr>
        <w:t>’</w:t>
      </w:r>
      <w:r w:rsidRPr="00F73CE1">
        <w:rPr>
          <w:lang w:val="fr-FR"/>
        </w:rPr>
        <w:t>autres arrêts.</w:t>
      </w:r>
    </w:p>
    <w:p w:rsidR="001F4B22" w:rsidRPr="00F73CE1" w:rsidRDefault="001F4B22" w:rsidP="00F73CE1">
      <w:pPr>
        <w:pStyle w:val="OpiPara"/>
        <w:rPr>
          <w:lang w:val="fr-FR"/>
        </w:rPr>
      </w:pPr>
      <w:r w:rsidRPr="00F73CE1">
        <w:rPr>
          <w:lang w:val="fr-FR"/>
        </w:rPr>
        <w:t>Il en résulte que l</w:t>
      </w:r>
      <w:r>
        <w:rPr>
          <w:lang w:val="fr-FR"/>
        </w:rPr>
        <w:t>’</w:t>
      </w:r>
      <w:r w:rsidRPr="00F73CE1">
        <w:rPr>
          <w:lang w:val="fr-FR"/>
        </w:rPr>
        <w:t>argumentation des parties fondée sur le droit de l</w:t>
      </w:r>
      <w:r>
        <w:rPr>
          <w:lang w:val="fr-FR"/>
        </w:rPr>
        <w:t>’</w:t>
      </w:r>
      <w:r w:rsidRPr="00F73CE1">
        <w:rPr>
          <w:lang w:val="fr-FR"/>
        </w:rPr>
        <w:t>Union européenne et axée sur l</w:t>
      </w:r>
      <w:r>
        <w:rPr>
          <w:lang w:val="fr-FR"/>
        </w:rPr>
        <w:t>’</w:t>
      </w:r>
      <w:r w:rsidRPr="00F73CE1">
        <w:rPr>
          <w:lang w:val="fr-FR"/>
        </w:rPr>
        <w:t>obligation de poser la question préjudicielle exige une réponse particulièrement soignée de la part du juge national. Dans le contexte de la jurisprudence générale de la Cour relative à la motivation des décisions de justice, les questions et l</w:t>
      </w:r>
      <w:r>
        <w:rPr>
          <w:lang w:val="fr-FR"/>
        </w:rPr>
        <w:t>’</w:t>
      </w:r>
      <w:r w:rsidRPr="00F73CE1">
        <w:rPr>
          <w:lang w:val="fr-FR"/>
        </w:rPr>
        <w:t>argumentation fondées sur le droit de l</w:t>
      </w:r>
      <w:r>
        <w:rPr>
          <w:lang w:val="fr-FR"/>
        </w:rPr>
        <w:t>’</w:t>
      </w:r>
      <w:r w:rsidRPr="00F73CE1">
        <w:rPr>
          <w:lang w:val="fr-FR"/>
        </w:rPr>
        <w:t>Union européenne bénéficient donc d</w:t>
      </w:r>
      <w:r>
        <w:rPr>
          <w:lang w:val="fr-FR"/>
        </w:rPr>
        <w:t>’</w:t>
      </w:r>
      <w:r w:rsidRPr="00F73CE1">
        <w:rPr>
          <w:lang w:val="fr-FR"/>
        </w:rPr>
        <w:t>un traitement plus favorable que d</w:t>
      </w:r>
      <w:r>
        <w:rPr>
          <w:lang w:val="fr-FR"/>
        </w:rPr>
        <w:t>’</w:t>
      </w:r>
      <w:r w:rsidRPr="00F73CE1">
        <w:rPr>
          <w:lang w:val="fr-FR"/>
        </w:rPr>
        <w:t>autres questions et arguments soulevés par les parties, notamment les questions de responsabilité pénale. Or ce traitement préférentiel ne me semble pas suffisamment justifié sur le fondement de la Convention. Je ne suis pas persuadé que l</w:t>
      </w:r>
      <w:r>
        <w:rPr>
          <w:lang w:val="fr-FR"/>
        </w:rPr>
        <w:t>’</w:t>
      </w:r>
      <w:r w:rsidRPr="00F73CE1">
        <w:rPr>
          <w:lang w:val="fr-FR"/>
        </w:rPr>
        <w:t>absence de motivation du refus de poser une question préjudicielle à la Cour de justice de l</w:t>
      </w:r>
      <w:r>
        <w:rPr>
          <w:lang w:val="fr-FR"/>
        </w:rPr>
        <w:t>’</w:t>
      </w:r>
      <w:r w:rsidRPr="00F73CE1">
        <w:rPr>
          <w:lang w:val="fr-FR"/>
        </w:rPr>
        <w:t>Union européenne constitue automatiquement une violation de l</w:t>
      </w:r>
      <w:r>
        <w:rPr>
          <w:lang w:val="fr-FR"/>
        </w:rPr>
        <w:t>’</w:t>
      </w:r>
      <w:r w:rsidRPr="00F73CE1">
        <w:rPr>
          <w:lang w:val="fr-FR"/>
        </w:rPr>
        <w:t>article 6 de la Convention, même si ce refus émane d</w:t>
      </w:r>
      <w:r>
        <w:rPr>
          <w:lang w:val="fr-FR"/>
        </w:rPr>
        <w:t>’</w:t>
      </w:r>
      <w:r w:rsidRPr="00F73CE1">
        <w:rPr>
          <w:lang w:val="fr-FR"/>
        </w:rPr>
        <w:t>une juridiction nationale dont les décisions ne sont pas susceptibles de recours en droit interne.</w:t>
      </w:r>
    </w:p>
    <w:p w:rsidR="001F4B22" w:rsidRPr="00F73CE1" w:rsidRDefault="001F4B22" w:rsidP="00F73CE1">
      <w:pPr>
        <w:pStyle w:val="OpiPara"/>
        <w:rPr>
          <w:lang w:val="fr-FR"/>
        </w:rPr>
      </w:pPr>
    </w:p>
    <w:p w:rsidR="001F4B22" w:rsidRPr="00F73CE1" w:rsidRDefault="001F4B22" w:rsidP="00F73CE1">
      <w:pPr>
        <w:pStyle w:val="OpiPara"/>
        <w:rPr>
          <w:lang w:val="fr-FR"/>
        </w:rPr>
      </w:pPr>
      <w:r>
        <w:rPr>
          <w:lang w:val="fr-FR"/>
        </w:rPr>
        <w:t>6.  </w:t>
      </w:r>
      <w:r w:rsidRPr="00F73CE1">
        <w:rPr>
          <w:lang w:val="fr-FR"/>
        </w:rPr>
        <w:t>La Cour a adopté une approche beaucoup plus prudente et sensiblement plus convaincante à l</w:t>
      </w:r>
      <w:r>
        <w:rPr>
          <w:lang w:val="fr-FR"/>
        </w:rPr>
        <w:t>’</w:t>
      </w:r>
      <w:r w:rsidRPr="00F73CE1">
        <w:rPr>
          <w:lang w:val="fr-FR"/>
        </w:rPr>
        <w:t>égard des questions préjudicielles adressées par le juge national au juge constitutionnel quant à la constitutionnalité des lois et. Dans l</w:t>
      </w:r>
      <w:r>
        <w:rPr>
          <w:lang w:val="fr-FR"/>
        </w:rPr>
        <w:t>’</w:t>
      </w:r>
      <w:r w:rsidRPr="00F73CE1">
        <w:rPr>
          <w:lang w:val="fr-FR"/>
        </w:rPr>
        <w:t xml:space="preserve">affaire </w:t>
      </w:r>
      <w:r w:rsidRPr="00F73CE1">
        <w:rPr>
          <w:i/>
          <w:lang w:val="fr-FR"/>
        </w:rPr>
        <w:t>Pronina c. Ukraine</w:t>
      </w:r>
      <w:r w:rsidRPr="00F73CE1">
        <w:rPr>
          <w:lang w:val="fr-FR"/>
        </w:rPr>
        <w:t>, elle a dit ceci (§ 24) :</w:t>
      </w:r>
    </w:p>
    <w:p w:rsidR="001F4B22" w:rsidRDefault="001F4B22" w:rsidP="00760FBC">
      <w:pPr>
        <w:pStyle w:val="OpiQuot"/>
        <w:rPr>
          <w:lang w:val="fr-FR"/>
        </w:rPr>
      </w:pPr>
      <w:r w:rsidRPr="00760FBC">
        <w:rPr>
          <w:lang w:val="fr-FR"/>
        </w:rPr>
        <w:t>« Dans le système juridique ukrainien, où les personnes physiques n</w:t>
      </w:r>
      <w:r>
        <w:rPr>
          <w:lang w:val="fr-FR"/>
        </w:rPr>
        <w:t>’</w:t>
      </w:r>
      <w:r w:rsidRPr="00760FBC">
        <w:rPr>
          <w:lang w:val="fr-FR"/>
        </w:rPr>
        <w:t>ont pas de droit recours individuel devant la Cour constitutionnelle, il appartient aux juridictions internes de vérifier la compatibilité des textes de loi avec la Constitution et, en cas de doute, de demander l</w:t>
      </w:r>
      <w:r>
        <w:rPr>
          <w:lang w:val="fr-FR"/>
        </w:rPr>
        <w:t>’</w:t>
      </w:r>
      <w:r w:rsidRPr="00760FBC">
        <w:rPr>
          <w:lang w:val="fr-FR"/>
        </w:rPr>
        <w:t>ouverture d</w:t>
      </w:r>
      <w:r>
        <w:rPr>
          <w:lang w:val="fr-FR"/>
        </w:rPr>
        <w:t>’</w:t>
      </w:r>
      <w:r w:rsidRPr="00760FBC">
        <w:rPr>
          <w:lang w:val="fr-FR"/>
        </w:rPr>
        <w:t>une procédure constitutionnelle (paragraphes 14 et 15 ci-dessus). Toutefois, eu égard à la législation pertinente, ce système ne peut être compris comme imposant aux juridictions ordinaires d</w:t>
      </w:r>
      <w:r>
        <w:rPr>
          <w:lang w:val="fr-FR"/>
        </w:rPr>
        <w:t>’</w:t>
      </w:r>
      <w:r w:rsidRPr="00760FBC">
        <w:rPr>
          <w:lang w:val="fr-FR"/>
        </w:rPr>
        <w:t>examiner en détail ou de transmettre à la Cour constitutionnelle toute question de constitutionnalité soulevée par une partie à la procédure civile. Il apparaît que les tribunaux de compétence générale exercent un certain pouvoir discrétionnaire lorsqu</w:t>
      </w:r>
      <w:r>
        <w:rPr>
          <w:lang w:val="fr-FR"/>
        </w:rPr>
        <w:t>’</w:t>
      </w:r>
      <w:r w:rsidRPr="00760FBC">
        <w:rPr>
          <w:lang w:val="fr-FR"/>
        </w:rPr>
        <w:t>ils traitent les questions de constitutionnalité soulevées dans le cadre de la procédure civile. La question de savoir si un tribunal a manqué à motiver sa décision sur ce point ne peut donc être tranchée qu</w:t>
      </w:r>
      <w:r>
        <w:rPr>
          <w:lang w:val="fr-FR"/>
        </w:rPr>
        <w:t>’</w:t>
      </w:r>
      <w:r w:rsidRPr="00760FBC">
        <w:rPr>
          <w:lang w:val="fr-FR"/>
        </w:rPr>
        <w:t>à la lumière des circonstances de la cause, comme indiqué précédemment. »</w:t>
      </w:r>
    </w:p>
    <w:p w:rsidR="001F4B22" w:rsidRPr="00F73CE1" w:rsidRDefault="001F4B22" w:rsidP="00F73CE1">
      <w:pPr>
        <w:pStyle w:val="OpiPara"/>
        <w:rPr>
          <w:lang w:val="fr-FR"/>
        </w:rPr>
      </w:pPr>
      <w:r>
        <w:rPr>
          <w:lang w:val="fr-FR"/>
        </w:rPr>
        <w:t>7.  </w:t>
      </w:r>
      <w:r w:rsidRPr="00F73CE1">
        <w:rPr>
          <w:lang w:val="fr-FR"/>
        </w:rPr>
        <w:t>Dans les circonstances de l</w:t>
      </w:r>
      <w:r>
        <w:rPr>
          <w:lang w:val="fr-FR"/>
        </w:rPr>
        <w:t>’</w:t>
      </w:r>
      <w:r w:rsidRPr="00F73CE1">
        <w:rPr>
          <w:lang w:val="fr-FR"/>
        </w:rPr>
        <w:t>espèce, je peux admettre que la motivation de l</w:t>
      </w:r>
      <w:r>
        <w:rPr>
          <w:lang w:val="fr-FR"/>
        </w:rPr>
        <w:t>’</w:t>
      </w:r>
      <w:r w:rsidRPr="00F73CE1">
        <w:rPr>
          <w:lang w:val="fr-FR"/>
        </w:rPr>
        <w:t>arrêt rendu par la Cour de cassation dans la présente affaire ne satisfait pas entièrement à l</w:t>
      </w:r>
      <w:r>
        <w:rPr>
          <w:lang w:val="fr-FR"/>
        </w:rPr>
        <w:t>’</w:t>
      </w:r>
      <w:r w:rsidRPr="00F73CE1">
        <w:rPr>
          <w:lang w:val="fr-FR"/>
        </w:rPr>
        <w:t>exigence générale de motivation adéquate des décisions de justice découlant de l</w:t>
      </w:r>
      <w:r>
        <w:rPr>
          <w:lang w:val="fr-FR"/>
        </w:rPr>
        <w:t>’</w:t>
      </w:r>
      <w:r w:rsidRPr="00F73CE1">
        <w:rPr>
          <w:lang w:val="fr-FR"/>
        </w:rPr>
        <w:t>article 6 de la Convention. En revanche, le présupposé selon lequel l</w:t>
      </w:r>
      <w:r>
        <w:rPr>
          <w:lang w:val="fr-FR"/>
        </w:rPr>
        <w:t>’</w:t>
      </w:r>
      <w:r w:rsidRPr="00F73CE1">
        <w:rPr>
          <w:lang w:val="fr-FR"/>
        </w:rPr>
        <w:t>absence de motivation du refus de poser la question préjudicielle équivaut à une violation de l</w:t>
      </w:r>
      <w:r>
        <w:rPr>
          <w:lang w:val="fr-FR"/>
        </w:rPr>
        <w:t>’</w:t>
      </w:r>
      <w:r w:rsidRPr="00F73CE1">
        <w:rPr>
          <w:lang w:val="fr-FR"/>
        </w:rPr>
        <w:t>article 6 de la Convention me semble problématique. Pour ma part, je préférerais une approche plus nuancée dans ce domaine.</w:t>
      </w:r>
    </w:p>
    <w:p w:rsidR="001F4B22" w:rsidRPr="00F73CE1" w:rsidRDefault="001F4B22" w:rsidP="00F73CE1">
      <w:pPr>
        <w:pStyle w:val="OpiPara"/>
        <w:rPr>
          <w:lang w:val="fr-FR"/>
        </w:rPr>
      </w:pPr>
    </w:p>
    <w:p w:rsidR="001F4B22" w:rsidRPr="00F73CE1" w:rsidRDefault="001F4B22" w:rsidP="00F73CE1">
      <w:pPr>
        <w:pStyle w:val="OpiPara"/>
        <w:rPr>
          <w:lang w:val="fr-FR"/>
        </w:rPr>
      </w:pPr>
    </w:p>
    <w:p w:rsidR="001F4B22" w:rsidRPr="00F73CE1" w:rsidRDefault="001F4B22" w:rsidP="00F73CE1">
      <w:pPr>
        <w:pStyle w:val="OpiPara"/>
        <w:rPr>
          <w:lang w:val="fr-FR"/>
        </w:rPr>
      </w:pPr>
    </w:p>
    <w:p w:rsidR="001F4B22" w:rsidRPr="00333FA9" w:rsidRDefault="001F4B22" w:rsidP="00147404">
      <w:pPr>
        <w:pStyle w:val="OpiPara"/>
        <w:rPr>
          <w:lang w:val="fr-FR"/>
        </w:rPr>
      </w:pPr>
    </w:p>
    <w:sectPr w:rsidR="001F4B22" w:rsidRPr="00333FA9" w:rsidSect="00A8607A">
      <w:headerReference w:type="even" r:id="rId12"/>
      <w:headerReference w:type="default" r:id="rId13"/>
      <w:pgSz w:w="11906" w:h="16838"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22" w:rsidRDefault="001F4B22" w:rsidP="00E77CB3">
      <w:r>
        <w:separator/>
      </w:r>
    </w:p>
  </w:endnote>
  <w:endnote w:type="continuationSeparator" w:id="0">
    <w:p w:rsidR="001F4B22" w:rsidRDefault="001F4B22" w:rsidP="00E77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Futura Std">
    <w:altName w:val="Futur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150BFA" w:rsidRDefault="001F4B22" w:rsidP="00600DC8">
    <w:pPr>
      <w:jc w:val="center"/>
    </w:pPr>
    <w:r w:rsidRPr="00B91595">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style="width:60pt;height:48.75pt;visibility:visible">
          <v:imagedata r:id="rId1" o:title=""/>
        </v:shape>
      </w:pict>
    </w:r>
  </w:p>
  <w:p w:rsidR="001F4B22" w:rsidRDefault="001F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22" w:rsidRDefault="001F4B22" w:rsidP="00E77CB3">
      <w:r>
        <w:separator/>
      </w:r>
    </w:p>
  </w:footnote>
  <w:footnote w:type="continuationSeparator" w:id="0">
    <w:p w:rsidR="001F4B22" w:rsidRDefault="001F4B22" w:rsidP="00E77CB3">
      <w:r>
        <w:continuationSeparator/>
      </w:r>
    </w:p>
  </w:footnote>
  <w:footnote w:id="1">
    <w:p w:rsidR="001F4B22" w:rsidRDefault="001F4B22" w:rsidP="005A52FD">
      <w:pPr>
        <w:pStyle w:val="FootnoteText"/>
      </w:pPr>
      <w:r w:rsidRPr="009705DA">
        <w:rPr>
          <w:rStyle w:val="FootnoteReference"/>
          <w:vertAlign w:val="baseline"/>
        </w:rPr>
        <w:footnoteRef/>
      </w:r>
      <w:r w:rsidRPr="00C964F9">
        <w:rPr>
          <w:lang w:val="fr-FR"/>
        </w:rPr>
        <w:t>.  </w:t>
      </w:r>
      <w:r>
        <w:rPr>
          <w:lang w:val="fr-FR"/>
        </w:rPr>
        <w:t>Depuis le 1</w:t>
      </w:r>
      <w:r w:rsidRPr="00500481">
        <w:rPr>
          <w:vertAlign w:val="superscript"/>
          <w:lang w:val="fr-FR"/>
        </w:rPr>
        <w:t>er</w:t>
      </w:r>
      <w:r>
        <w:rPr>
          <w:lang w:val="fr-FR"/>
        </w:rPr>
        <w:t xml:space="preserve"> décembre 2009</w:t>
      </w:r>
      <w:r w:rsidRPr="00C964F9">
        <w:rPr>
          <w:lang w:val="fr-FR"/>
        </w:rPr>
        <w:t xml:space="preserve">, la </w:t>
      </w:r>
      <w:r w:rsidRPr="00C964F9">
        <w:rPr>
          <w:bCs/>
          <w:lang w:val="fr-FR"/>
        </w:rPr>
        <w:t>Cour</w:t>
      </w:r>
      <w:r w:rsidRPr="00C964F9">
        <w:rPr>
          <w:lang w:val="fr-FR"/>
        </w:rPr>
        <w:t xml:space="preserve"> de </w:t>
      </w:r>
      <w:r w:rsidRPr="00C964F9">
        <w:rPr>
          <w:bCs/>
          <w:lang w:val="fr-FR"/>
        </w:rPr>
        <w:t>justice</w:t>
      </w:r>
      <w:r w:rsidRPr="00C964F9">
        <w:rPr>
          <w:lang w:val="fr-FR"/>
        </w:rPr>
        <w:t xml:space="preserve"> </w:t>
      </w:r>
      <w:r>
        <w:rPr>
          <w:lang w:val="fr-FR"/>
        </w:rPr>
        <w:t xml:space="preserve">de l’Union </w:t>
      </w:r>
      <w:r w:rsidRPr="00C964F9">
        <w:rPr>
          <w:lang w:val="fr-FR"/>
        </w:rPr>
        <w:t>européenne.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790333" w:rsidRDefault="001F4B22" w:rsidP="000B2C31">
    <w:pPr>
      <w:pStyle w:val="ECHRHeader"/>
      <w:jc w:val="cent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A45145" w:rsidRDefault="001F4B22" w:rsidP="00600DC8">
    <w:pPr>
      <w:jc w:val="center"/>
    </w:pPr>
    <w:r w:rsidRPr="00B91595">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233.25pt;height:96pt;visibility:visible">
          <v:imagedata r:id="rId1" o:title=""/>
        </v:shape>
      </w:pict>
    </w:r>
  </w:p>
  <w:p w:rsidR="001F4B22" w:rsidRDefault="001F4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790333" w:rsidRDefault="001F4B22" w:rsidP="00C611D8">
    <w:pPr>
      <w:pStyle w:val="ECHRHeader"/>
      <w:rPr>
        <w:lang w:val="fr-FR"/>
      </w:rPr>
    </w:pPr>
    <w:r w:rsidRPr="00790333">
      <w:rPr>
        <w:rStyle w:val="PageNumber"/>
        <w:lang w:val="fr-FR"/>
      </w:rPr>
      <w:fldChar w:fldCharType="begin"/>
    </w:r>
    <w:r w:rsidRPr="00790333">
      <w:rPr>
        <w:rStyle w:val="PageNumber"/>
        <w:lang w:val="fr-FR"/>
      </w:rPr>
      <w:instrText xml:space="preserve"> PAGE </w:instrText>
    </w:r>
    <w:r w:rsidRPr="00790333">
      <w:rPr>
        <w:rStyle w:val="PageNumber"/>
        <w:lang w:val="fr-FR"/>
      </w:rPr>
      <w:fldChar w:fldCharType="separate"/>
    </w:r>
    <w:r>
      <w:rPr>
        <w:rStyle w:val="PageNumber"/>
        <w:noProof/>
        <w:lang w:val="fr-FR"/>
      </w:rPr>
      <w:t>22</w:t>
    </w:r>
    <w:r w:rsidRPr="00790333">
      <w:rPr>
        <w:rStyle w:val="PageNumber"/>
        <w:lang w:val="fr-FR"/>
      </w:rPr>
      <w:fldChar w:fldCharType="end"/>
    </w:r>
    <w:r w:rsidRPr="00790333">
      <w:rPr>
        <w:rStyle w:val="PageNumber"/>
        <w:lang w:val="fr-FR"/>
      </w:rPr>
      <w:tab/>
    </w:r>
    <w:r>
      <w:rPr>
        <w:noProof/>
        <w:lang w:val="fr-FR"/>
      </w:rPr>
      <w:t>ARRÊT</w:t>
    </w:r>
    <w:r w:rsidRPr="00790333">
      <w:rPr>
        <w:lang w:val="fr-FR"/>
      </w:rPr>
      <w:t xml:space="preserve"> SCHIPANI ET AUTRES c. ITALIE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790333" w:rsidRDefault="001F4B22" w:rsidP="00C63990">
    <w:pPr>
      <w:pStyle w:val="ECHRHeader"/>
      <w:rPr>
        <w:lang w:val="fr-FR"/>
      </w:rPr>
    </w:pPr>
    <w:r w:rsidRPr="00C63990">
      <w:rPr>
        <w:lang w:val="fr-FR"/>
      </w:rPr>
      <w:tab/>
    </w:r>
    <w:r>
      <w:rPr>
        <w:noProof/>
        <w:lang w:val="fr-FR"/>
      </w:rPr>
      <w:t>ARRÊT</w:t>
    </w:r>
    <w:r w:rsidRPr="00790333">
      <w:rPr>
        <w:lang w:val="fr-FR"/>
      </w:rPr>
      <w:t xml:space="preserve"> SCHIPANI ET AUTRES c. ITALIE</w:t>
    </w:r>
    <w:r w:rsidRPr="00790333">
      <w:rPr>
        <w:lang w:val="fr-FR"/>
      </w:rPr>
      <w:tab/>
    </w:r>
    <w:r w:rsidRPr="00790333">
      <w:rPr>
        <w:rStyle w:val="PageNumber"/>
        <w:lang w:val="fr-FR"/>
      </w:rPr>
      <w:fldChar w:fldCharType="begin"/>
    </w:r>
    <w:r w:rsidRPr="00790333">
      <w:rPr>
        <w:rStyle w:val="PageNumber"/>
        <w:lang w:val="fr-FR"/>
      </w:rPr>
      <w:instrText xml:space="preserve"> PAGE </w:instrText>
    </w:r>
    <w:r w:rsidRPr="00790333">
      <w:rPr>
        <w:rStyle w:val="PageNumber"/>
        <w:lang w:val="fr-FR"/>
      </w:rPr>
      <w:fldChar w:fldCharType="separate"/>
    </w:r>
    <w:r>
      <w:rPr>
        <w:rStyle w:val="PageNumber"/>
        <w:noProof/>
        <w:lang w:val="fr-FR"/>
      </w:rPr>
      <w:t>1</w:t>
    </w:r>
    <w:r w:rsidRPr="00790333">
      <w:rPr>
        <w:rStyle w:val="PageNumber"/>
        <w:lang w:val="fr-F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790333" w:rsidRDefault="001F4B22" w:rsidP="00C611D8">
    <w:pPr>
      <w:pStyle w:val="ECHRHeader"/>
      <w:rPr>
        <w:lang w:val="fr-FR"/>
      </w:rPr>
    </w:pPr>
    <w:r w:rsidRPr="00790333">
      <w:rPr>
        <w:rStyle w:val="PageNumber"/>
        <w:lang w:val="fr-FR"/>
      </w:rPr>
      <w:fldChar w:fldCharType="begin"/>
    </w:r>
    <w:r w:rsidRPr="00790333">
      <w:rPr>
        <w:rStyle w:val="PageNumber"/>
        <w:lang w:val="fr-FR"/>
      </w:rPr>
      <w:instrText xml:space="preserve"> PAGE </w:instrText>
    </w:r>
    <w:r w:rsidRPr="00790333">
      <w:rPr>
        <w:rStyle w:val="PageNumber"/>
        <w:lang w:val="fr-FR"/>
      </w:rPr>
      <w:fldChar w:fldCharType="separate"/>
    </w:r>
    <w:r>
      <w:rPr>
        <w:rStyle w:val="PageNumber"/>
        <w:noProof/>
        <w:lang w:val="fr-FR"/>
      </w:rPr>
      <w:t>26</w:t>
    </w:r>
    <w:r w:rsidRPr="00790333">
      <w:rPr>
        <w:rStyle w:val="PageNumber"/>
        <w:lang w:val="fr-FR"/>
      </w:rPr>
      <w:fldChar w:fldCharType="end"/>
    </w:r>
    <w:r w:rsidRPr="00790333">
      <w:rPr>
        <w:rStyle w:val="PageNumber"/>
        <w:lang w:val="fr-FR"/>
      </w:rPr>
      <w:tab/>
    </w:r>
    <w:r>
      <w:rPr>
        <w:noProof/>
        <w:lang w:val="fr-FR"/>
      </w:rPr>
      <w:t>ARRÊT</w:t>
    </w:r>
    <w:r w:rsidRPr="00790333">
      <w:rPr>
        <w:lang w:val="fr-FR"/>
      </w:rPr>
      <w:t xml:space="preserve"> SCHIPANI ET AUTRES c. ITALIE</w:t>
    </w:r>
    <w:r>
      <w:rPr>
        <w:lang w:val="fr-FR"/>
      </w:rPr>
      <w:t xml:space="preserve"> – </w:t>
    </w:r>
    <w:r w:rsidRPr="00467156">
      <w:rPr>
        <w:lang w:val="fr-FR"/>
      </w:rPr>
      <w:t>OPINION SÉPARÉE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22" w:rsidRPr="00790333" w:rsidRDefault="001F4B22" w:rsidP="00C63990">
    <w:pPr>
      <w:pStyle w:val="ECHRHeader"/>
      <w:rPr>
        <w:lang w:val="fr-FR"/>
      </w:rPr>
    </w:pPr>
    <w:r w:rsidRPr="00C63990">
      <w:rPr>
        <w:lang w:val="fr-FR"/>
      </w:rPr>
      <w:tab/>
    </w:r>
    <w:r>
      <w:rPr>
        <w:noProof/>
        <w:lang w:val="fr-FR"/>
      </w:rPr>
      <w:t>ARRÊT</w:t>
    </w:r>
    <w:r w:rsidRPr="00790333">
      <w:rPr>
        <w:lang w:val="fr-FR"/>
      </w:rPr>
      <w:t xml:space="preserve"> SCHIPANI ET AUTRES c. ITALIE</w:t>
    </w:r>
    <w:r>
      <w:rPr>
        <w:lang w:val="fr-FR"/>
      </w:rPr>
      <w:t xml:space="preserve"> – </w:t>
    </w:r>
    <w:r w:rsidRPr="00467156">
      <w:rPr>
        <w:lang w:val="fr-FR"/>
      </w:rPr>
      <w:t>OPINION SÉPARÉE</w:t>
    </w:r>
    <w:r w:rsidRPr="00790333">
      <w:rPr>
        <w:lang w:val="fr-FR"/>
      </w:rPr>
      <w:tab/>
    </w:r>
    <w:r w:rsidRPr="00790333">
      <w:rPr>
        <w:rStyle w:val="PageNumber"/>
        <w:lang w:val="fr-FR"/>
      </w:rPr>
      <w:fldChar w:fldCharType="begin"/>
    </w:r>
    <w:r w:rsidRPr="00790333">
      <w:rPr>
        <w:rStyle w:val="PageNumber"/>
        <w:lang w:val="fr-FR"/>
      </w:rPr>
      <w:instrText xml:space="preserve"> PAGE </w:instrText>
    </w:r>
    <w:r w:rsidRPr="00790333">
      <w:rPr>
        <w:rStyle w:val="PageNumber"/>
        <w:lang w:val="fr-FR"/>
      </w:rPr>
      <w:fldChar w:fldCharType="separate"/>
    </w:r>
    <w:r>
      <w:rPr>
        <w:rStyle w:val="PageNumber"/>
        <w:noProof/>
        <w:lang w:val="fr-FR"/>
      </w:rPr>
      <w:t>25</w:t>
    </w:r>
    <w:r w:rsidRPr="00790333">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85901F7"/>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06638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8122567"/>
    <w:multiLevelType w:val="hybridMultilevel"/>
    <w:tmpl w:val="79D8B3DA"/>
    <w:lvl w:ilvl="0" w:tplc="657A82A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660F16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3D2B0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F7A4305"/>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3"/>
  </w:num>
  <w:num w:numId="23">
    <w:abstractNumId w:val="10"/>
  </w:num>
  <w:num w:numId="24">
    <w:abstractNumId w:val="15"/>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8"/>
  </w:num>
  <w:num w:numId="36">
    <w:abstractNumId w:val="11"/>
  </w:num>
  <w:num w:numId="37">
    <w:abstractNumId w:val="19"/>
  </w:num>
  <w:num w:numId="38">
    <w:abstractNumId w:val="12"/>
  </w:num>
  <w:num w:numId="39">
    <w:abstractNumId w:val="16"/>
  </w:num>
  <w:num w:numId="40">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790333"/>
    <w:rsid w:val="0000160F"/>
    <w:rsid w:val="000041F8"/>
    <w:rsid w:val="000042A8"/>
    <w:rsid w:val="00004308"/>
    <w:rsid w:val="00005BF0"/>
    <w:rsid w:val="00007154"/>
    <w:rsid w:val="000103AE"/>
    <w:rsid w:val="00011D69"/>
    <w:rsid w:val="00012AD3"/>
    <w:rsid w:val="00015915"/>
    <w:rsid w:val="00015C2D"/>
    <w:rsid w:val="00015F00"/>
    <w:rsid w:val="00022582"/>
    <w:rsid w:val="00022C1D"/>
    <w:rsid w:val="00034987"/>
    <w:rsid w:val="00035DEA"/>
    <w:rsid w:val="00044EEF"/>
    <w:rsid w:val="00051B0B"/>
    <w:rsid w:val="00053608"/>
    <w:rsid w:val="000602DF"/>
    <w:rsid w:val="00061B05"/>
    <w:rsid w:val="000632D5"/>
    <w:rsid w:val="000644EE"/>
    <w:rsid w:val="00066A71"/>
    <w:rsid w:val="000726C2"/>
    <w:rsid w:val="000813D8"/>
    <w:rsid w:val="000925AD"/>
    <w:rsid w:val="000948EF"/>
    <w:rsid w:val="000A24EB"/>
    <w:rsid w:val="000B2C31"/>
    <w:rsid w:val="000B6923"/>
    <w:rsid w:val="000C0C45"/>
    <w:rsid w:val="000C5F3C"/>
    <w:rsid w:val="000C6DCC"/>
    <w:rsid w:val="000C7EE5"/>
    <w:rsid w:val="000D47AA"/>
    <w:rsid w:val="000D5AF9"/>
    <w:rsid w:val="000D6A36"/>
    <w:rsid w:val="000D721F"/>
    <w:rsid w:val="000E069B"/>
    <w:rsid w:val="000E0E82"/>
    <w:rsid w:val="000E1DC5"/>
    <w:rsid w:val="000E223F"/>
    <w:rsid w:val="000E7D45"/>
    <w:rsid w:val="000F6BD2"/>
    <w:rsid w:val="000F7851"/>
    <w:rsid w:val="00104958"/>
    <w:rsid w:val="00104E23"/>
    <w:rsid w:val="00111B0C"/>
    <w:rsid w:val="00120D6C"/>
    <w:rsid w:val="00122C60"/>
    <w:rsid w:val="00123FED"/>
    <w:rsid w:val="001257EC"/>
    <w:rsid w:val="0012609C"/>
    <w:rsid w:val="00133D33"/>
    <w:rsid w:val="00134D64"/>
    <w:rsid w:val="00135A30"/>
    <w:rsid w:val="0013612C"/>
    <w:rsid w:val="00137ADA"/>
    <w:rsid w:val="00137FF6"/>
    <w:rsid w:val="00141650"/>
    <w:rsid w:val="00141E54"/>
    <w:rsid w:val="001442B2"/>
    <w:rsid w:val="00144B5D"/>
    <w:rsid w:val="00147404"/>
    <w:rsid w:val="00150BFA"/>
    <w:rsid w:val="00153C6F"/>
    <w:rsid w:val="00156AD2"/>
    <w:rsid w:val="00162A12"/>
    <w:rsid w:val="00162CE1"/>
    <w:rsid w:val="00166530"/>
    <w:rsid w:val="00167801"/>
    <w:rsid w:val="0017075A"/>
    <w:rsid w:val="00171B8B"/>
    <w:rsid w:val="001832BD"/>
    <w:rsid w:val="00183A81"/>
    <w:rsid w:val="001922DD"/>
    <w:rsid w:val="00192568"/>
    <w:rsid w:val="001943B5"/>
    <w:rsid w:val="00195134"/>
    <w:rsid w:val="001A145B"/>
    <w:rsid w:val="001A1AEC"/>
    <w:rsid w:val="001A674C"/>
    <w:rsid w:val="001B10A7"/>
    <w:rsid w:val="001B3B24"/>
    <w:rsid w:val="001C0F98"/>
    <w:rsid w:val="001C2A42"/>
    <w:rsid w:val="001C6876"/>
    <w:rsid w:val="001D1D73"/>
    <w:rsid w:val="001D22BD"/>
    <w:rsid w:val="001D63ED"/>
    <w:rsid w:val="001D7348"/>
    <w:rsid w:val="001E035B"/>
    <w:rsid w:val="001E0961"/>
    <w:rsid w:val="001E1005"/>
    <w:rsid w:val="001E3EAE"/>
    <w:rsid w:val="001E6F32"/>
    <w:rsid w:val="001F2145"/>
    <w:rsid w:val="001F4B22"/>
    <w:rsid w:val="001F6262"/>
    <w:rsid w:val="001F67B0"/>
    <w:rsid w:val="001F7B3D"/>
    <w:rsid w:val="00205F9F"/>
    <w:rsid w:val="00206182"/>
    <w:rsid w:val="00210338"/>
    <w:rsid w:val="002115FC"/>
    <w:rsid w:val="0021423C"/>
    <w:rsid w:val="0022020B"/>
    <w:rsid w:val="00230D00"/>
    <w:rsid w:val="00231DF7"/>
    <w:rsid w:val="00231FD1"/>
    <w:rsid w:val="00232956"/>
    <w:rsid w:val="00232E54"/>
    <w:rsid w:val="002339E0"/>
    <w:rsid w:val="00233CF8"/>
    <w:rsid w:val="0023575D"/>
    <w:rsid w:val="00237148"/>
    <w:rsid w:val="0024222D"/>
    <w:rsid w:val="00244850"/>
    <w:rsid w:val="00244B0E"/>
    <w:rsid w:val="00244F6C"/>
    <w:rsid w:val="002532C5"/>
    <w:rsid w:val="00256499"/>
    <w:rsid w:val="00260C03"/>
    <w:rsid w:val="00261379"/>
    <w:rsid w:val="0026540E"/>
    <w:rsid w:val="002725DB"/>
    <w:rsid w:val="00274934"/>
    <w:rsid w:val="00275123"/>
    <w:rsid w:val="00282240"/>
    <w:rsid w:val="002948AD"/>
    <w:rsid w:val="002A01CC"/>
    <w:rsid w:val="002A21D8"/>
    <w:rsid w:val="002A61B1"/>
    <w:rsid w:val="002A663C"/>
    <w:rsid w:val="002B444B"/>
    <w:rsid w:val="002B5887"/>
    <w:rsid w:val="002B6209"/>
    <w:rsid w:val="002C0E27"/>
    <w:rsid w:val="002C122F"/>
    <w:rsid w:val="002C3040"/>
    <w:rsid w:val="002C6886"/>
    <w:rsid w:val="002D022D"/>
    <w:rsid w:val="002D24BB"/>
    <w:rsid w:val="002D2533"/>
    <w:rsid w:val="002D326E"/>
    <w:rsid w:val="002E02CB"/>
    <w:rsid w:val="002E1935"/>
    <w:rsid w:val="002E209E"/>
    <w:rsid w:val="002F2AF7"/>
    <w:rsid w:val="002F6C08"/>
    <w:rsid w:val="002F7E1C"/>
    <w:rsid w:val="00300138"/>
    <w:rsid w:val="00300337"/>
    <w:rsid w:val="0030182C"/>
    <w:rsid w:val="00301A75"/>
    <w:rsid w:val="00302F70"/>
    <w:rsid w:val="0030336F"/>
    <w:rsid w:val="0030375E"/>
    <w:rsid w:val="003051DF"/>
    <w:rsid w:val="00312A30"/>
    <w:rsid w:val="0031521E"/>
    <w:rsid w:val="00320F72"/>
    <w:rsid w:val="00324222"/>
    <w:rsid w:val="0032463E"/>
    <w:rsid w:val="0032508D"/>
    <w:rsid w:val="00326224"/>
    <w:rsid w:val="00327BAC"/>
    <w:rsid w:val="0033215C"/>
    <w:rsid w:val="00333FA9"/>
    <w:rsid w:val="00334364"/>
    <w:rsid w:val="00337EE4"/>
    <w:rsid w:val="00340FFD"/>
    <w:rsid w:val="003506B1"/>
    <w:rsid w:val="00356AC7"/>
    <w:rsid w:val="003609FA"/>
    <w:rsid w:val="003710C8"/>
    <w:rsid w:val="003750BE"/>
    <w:rsid w:val="00387B9D"/>
    <w:rsid w:val="00390FD4"/>
    <w:rsid w:val="0039364F"/>
    <w:rsid w:val="003946C4"/>
    <w:rsid w:val="00396686"/>
    <w:rsid w:val="0039778E"/>
    <w:rsid w:val="003A6097"/>
    <w:rsid w:val="003B4941"/>
    <w:rsid w:val="003C5714"/>
    <w:rsid w:val="003C6B9F"/>
    <w:rsid w:val="003C6E2A"/>
    <w:rsid w:val="003C7FB2"/>
    <w:rsid w:val="003D0299"/>
    <w:rsid w:val="003D4522"/>
    <w:rsid w:val="003D5504"/>
    <w:rsid w:val="003E14A9"/>
    <w:rsid w:val="003E6D80"/>
    <w:rsid w:val="003F05FA"/>
    <w:rsid w:val="003F244A"/>
    <w:rsid w:val="003F30B8"/>
    <w:rsid w:val="003F3554"/>
    <w:rsid w:val="003F4C45"/>
    <w:rsid w:val="003F5F7B"/>
    <w:rsid w:val="003F7D64"/>
    <w:rsid w:val="004140D7"/>
    <w:rsid w:val="00414300"/>
    <w:rsid w:val="00415172"/>
    <w:rsid w:val="00417C8F"/>
    <w:rsid w:val="00422115"/>
    <w:rsid w:val="00425C67"/>
    <w:rsid w:val="00427E7A"/>
    <w:rsid w:val="00435C60"/>
    <w:rsid w:val="00436C49"/>
    <w:rsid w:val="00445366"/>
    <w:rsid w:val="00447F5B"/>
    <w:rsid w:val="004538AD"/>
    <w:rsid w:val="00453DE0"/>
    <w:rsid w:val="0045506F"/>
    <w:rsid w:val="00461DB0"/>
    <w:rsid w:val="00463067"/>
    <w:rsid w:val="004637FF"/>
    <w:rsid w:val="00463926"/>
    <w:rsid w:val="00464C9A"/>
    <w:rsid w:val="00467156"/>
    <w:rsid w:val="00474F3D"/>
    <w:rsid w:val="00477769"/>
    <w:rsid w:val="00477E3A"/>
    <w:rsid w:val="00483E5F"/>
    <w:rsid w:val="00485FF9"/>
    <w:rsid w:val="004907F0"/>
    <w:rsid w:val="0049140B"/>
    <w:rsid w:val="004923A5"/>
    <w:rsid w:val="00494D96"/>
    <w:rsid w:val="00496BFB"/>
    <w:rsid w:val="004A15C7"/>
    <w:rsid w:val="004B013B"/>
    <w:rsid w:val="004B112B"/>
    <w:rsid w:val="004B6952"/>
    <w:rsid w:val="004C01E4"/>
    <w:rsid w:val="004C086C"/>
    <w:rsid w:val="004C1F56"/>
    <w:rsid w:val="004C27BC"/>
    <w:rsid w:val="004D15F3"/>
    <w:rsid w:val="004D5311"/>
    <w:rsid w:val="004D5DCC"/>
    <w:rsid w:val="004F0BA5"/>
    <w:rsid w:val="004F10AF"/>
    <w:rsid w:val="004F11A4"/>
    <w:rsid w:val="004F2389"/>
    <w:rsid w:val="004F2979"/>
    <w:rsid w:val="004F304D"/>
    <w:rsid w:val="004F3F23"/>
    <w:rsid w:val="004F61BE"/>
    <w:rsid w:val="004F66B1"/>
    <w:rsid w:val="00500481"/>
    <w:rsid w:val="00501954"/>
    <w:rsid w:val="00504111"/>
    <w:rsid w:val="00511C07"/>
    <w:rsid w:val="005173A6"/>
    <w:rsid w:val="00520BAA"/>
    <w:rsid w:val="00525208"/>
    <w:rsid w:val="005257A5"/>
    <w:rsid w:val="005264C0"/>
    <w:rsid w:val="00526A8A"/>
    <w:rsid w:val="00531DF2"/>
    <w:rsid w:val="00532D4E"/>
    <w:rsid w:val="00533838"/>
    <w:rsid w:val="00542B73"/>
    <w:rsid w:val="005442EE"/>
    <w:rsid w:val="00547353"/>
    <w:rsid w:val="005474E7"/>
    <w:rsid w:val="00550216"/>
    <w:rsid w:val="005512A3"/>
    <w:rsid w:val="00553C85"/>
    <w:rsid w:val="00556A1B"/>
    <w:rsid w:val="005578CE"/>
    <w:rsid w:val="00562781"/>
    <w:rsid w:val="0056315F"/>
    <w:rsid w:val="0057271C"/>
    <w:rsid w:val="00572845"/>
    <w:rsid w:val="00592772"/>
    <w:rsid w:val="0059574A"/>
    <w:rsid w:val="00596468"/>
    <w:rsid w:val="005972B3"/>
    <w:rsid w:val="005A1B9B"/>
    <w:rsid w:val="005A52FD"/>
    <w:rsid w:val="005A6751"/>
    <w:rsid w:val="005B092E"/>
    <w:rsid w:val="005B152C"/>
    <w:rsid w:val="005B1EE0"/>
    <w:rsid w:val="005B2B24"/>
    <w:rsid w:val="005B4425"/>
    <w:rsid w:val="005B4B94"/>
    <w:rsid w:val="005C111A"/>
    <w:rsid w:val="005C3EE8"/>
    <w:rsid w:val="005C4C33"/>
    <w:rsid w:val="005C6306"/>
    <w:rsid w:val="005D34F9"/>
    <w:rsid w:val="005D4190"/>
    <w:rsid w:val="005D67A3"/>
    <w:rsid w:val="005D6C85"/>
    <w:rsid w:val="005D7C6B"/>
    <w:rsid w:val="005E053A"/>
    <w:rsid w:val="005E2988"/>
    <w:rsid w:val="005E3085"/>
    <w:rsid w:val="005E4F70"/>
    <w:rsid w:val="005F0A6A"/>
    <w:rsid w:val="005F51E1"/>
    <w:rsid w:val="005F6D68"/>
    <w:rsid w:val="005F73B6"/>
    <w:rsid w:val="00600DC8"/>
    <w:rsid w:val="00611338"/>
    <w:rsid w:val="006115A5"/>
    <w:rsid w:val="00611C80"/>
    <w:rsid w:val="00620692"/>
    <w:rsid w:val="006242CA"/>
    <w:rsid w:val="00627507"/>
    <w:rsid w:val="006314A1"/>
    <w:rsid w:val="00633717"/>
    <w:rsid w:val="006344E1"/>
    <w:rsid w:val="00644832"/>
    <w:rsid w:val="00652F22"/>
    <w:rsid w:val="006545C4"/>
    <w:rsid w:val="00661971"/>
    <w:rsid w:val="00661CE8"/>
    <w:rsid w:val="006623D9"/>
    <w:rsid w:val="00663E8E"/>
    <w:rsid w:val="0066550C"/>
    <w:rsid w:val="00667B26"/>
    <w:rsid w:val="00671315"/>
    <w:rsid w:val="006716F2"/>
    <w:rsid w:val="00682BF2"/>
    <w:rsid w:val="00683729"/>
    <w:rsid w:val="006859CE"/>
    <w:rsid w:val="00691270"/>
    <w:rsid w:val="00694BA8"/>
    <w:rsid w:val="006A037C"/>
    <w:rsid w:val="006A36F4"/>
    <w:rsid w:val="006A3D07"/>
    <w:rsid w:val="006A406F"/>
    <w:rsid w:val="006A5D3A"/>
    <w:rsid w:val="006A7230"/>
    <w:rsid w:val="006B314A"/>
    <w:rsid w:val="006B5462"/>
    <w:rsid w:val="006B5C08"/>
    <w:rsid w:val="006C1BCB"/>
    <w:rsid w:val="006C23D4"/>
    <w:rsid w:val="006C4B1C"/>
    <w:rsid w:val="006C7A6D"/>
    <w:rsid w:val="006C7BB0"/>
    <w:rsid w:val="006D0991"/>
    <w:rsid w:val="006D1AAE"/>
    <w:rsid w:val="006D3237"/>
    <w:rsid w:val="006E09D9"/>
    <w:rsid w:val="006E24BA"/>
    <w:rsid w:val="006E2E37"/>
    <w:rsid w:val="006E3CF1"/>
    <w:rsid w:val="006E7E80"/>
    <w:rsid w:val="006F48CA"/>
    <w:rsid w:val="006F64DD"/>
    <w:rsid w:val="00706718"/>
    <w:rsid w:val="00715127"/>
    <w:rsid w:val="00715E8E"/>
    <w:rsid w:val="00723580"/>
    <w:rsid w:val="00723755"/>
    <w:rsid w:val="00726933"/>
    <w:rsid w:val="0072720E"/>
    <w:rsid w:val="0073136C"/>
    <w:rsid w:val="00731F0F"/>
    <w:rsid w:val="00733250"/>
    <w:rsid w:val="00741404"/>
    <w:rsid w:val="0074295D"/>
    <w:rsid w:val="007449E5"/>
    <w:rsid w:val="00747FF0"/>
    <w:rsid w:val="00752567"/>
    <w:rsid w:val="00755B0A"/>
    <w:rsid w:val="00757A49"/>
    <w:rsid w:val="00760FBC"/>
    <w:rsid w:val="00761749"/>
    <w:rsid w:val="00761FCA"/>
    <w:rsid w:val="0076467E"/>
    <w:rsid w:val="00764D4E"/>
    <w:rsid w:val="00765A1F"/>
    <w:rsid w:val="0077520F"/>
    <w:rsid w:val="007759C4"/>
    <w:rsid w:val="00775B6D"/>
    <w:rsid w:val="00776B02"/>
    <w:rsid w:val="00776D68"/>
    <w:rsid w:val="007850EE"/>
    <w:rsid w:val="00785B95"/>
    <w:rsid w:val="007861F7"/>
    <w:rsid w:val="007874AF"/>
    <w:rsid w:val="00790333"/>
    <w:rsid w:val="00790E96"/>
    <w:rsid w:val="00793366"/>
    <w:rsid w:val="007952DA"/>
    <w:rsid w:val="00797B80"/>
    <w:rsid w:val="007A1D0F"/>
    <w:rsid w:val="007A716F"/>
    <w:rsid w:val="007B270A"/>
    <w:rsid w:val="007B4B56"/>
    <w:rsid w:val="007B788B"/>
    <w:rsid w:val="007C0695"/>
    <w:rsid w:val="007C419A"/>
    <w:rsid w:val="007C4CC8"/>
    <w:rsid w:val="007C5426"/>
    <w:rsid w:val="007C5798"/>
    <w:rsid w:val="007D4832"/>
    <w:rsid w:val="007D5516"/>
    <w:rsid w:val="007E21B2"/>
    <w:rsid w:val="007E2C4E"/>
    <w:rsid w:val="007E2E5C"/>
    <w:rsid w:val="007F0DF0"/>
    <w:rsid w:val="007F1905"/>
    <w:rsid w:val="00801300"/>
    <w:rsid w:val="00802C64"/>
    <w:rsid w:val="00805E52"/>
    <w:rsid w:val="008061D0"/>
    <w:rsid w:val="008108EE"/>
    <w:rsid w:val="00810B38"/>
    <w:rsid w:val="008204C7"/>
    <w:rsid w:val="00820992"/>
    <w:rsid w:val="00821951"/>
    <w:rsid w:val="00823602"/>
    <w:rsid w:val="008255F5"/>
    <w:rsid w:val="008274D3"/>
    <w:rsid w:val="0083014E"/>
    <w:rsid w:val="0083214A"/>
    <w:rsid w:val="00834220"/>
    <w:rsid w:val="00835CE2"/>
    <w:rsid w:val="0084351A"/>
    <w:rsid w:val="00844586"/>
    <w:rsid w:val="00845723"/>
    <w:rsid w:val="00847185"/>
    <w:rsid w:val="00851EF9"/>
    <w:rsid w:val="008577FD"/>
    <w:rsid w:val="00860B03"/>
    <w:rsid w:val="0086497A"/>
    <w:rsid w:val="008654DC"/>
    <w:rsid w:val="008713A1"/>
    <w:rsid w:val="008754AB"/>
    <w:rsid w:val="0088060C"/>
    <w:rsid w:val="00887E72"/>
    <w:rsid w:val="0089355A"/>
    <w:rsid w:val="00893576"/>
    <w:rsid w:val="00893E73"/>
    <w:rsid w:val="00897A21"/>
    <w:rsid w:val="008A17E3"/>
    <w:rsid w:val="008A6734"/>
    <w:rsid w:val="008B02DC"/>
    <w:rsid w:val="008B2D32"/>
    <w:rsid w:val="008B57CE"/>
    <w:rsid w:val="008C26DE"/>
    <w:rsid w:val="008C36CB"/>
    <w:rsid w:val="008C7DF2"/>
    <w:rsid w:val="008D15AA"/>
    <w:rsid w:val="008D2225"/>
    <w:rsid w:val="008D4752"/>
    <w:rsid w:val="008E271C"/>
    <w:rsid w:val="008E39D9"/>
    <w:rsid w:val="008E418E"/>
    <w:rsid w:val="008E5BC6"/>
    <w:rsid w:val="008E65EA"/>
    <w:rsid w:val="008E6A25"/>
    <w:rsid w:val="008F5193"/>
    <w:rsid w:val="009013A7"/>
    <w:rsid w:val="009017FB"/>
    <w:rsid w:val="009017FC"/>
    <w:rsid w:val="0090506B"/>
    <w:rsid w:val="009050C9"/>
    <w:rsid w:val="009066FC"/>
    <w:rsid w:val="009140A3"/>
    <w:rsid w:val="009144A2"/>
    <w:rsid w:val="0091510C"/>
    <w:rsid w:val="00915CC1"/>
    <w:rsid w:val="0092044C"/>
    <w:rsid w:val="009208FF"/>
    <w:rsid w:val="009244E2"/>
    <w:rsid w:val="009259AC"/>
    <w:rsid w:val="00926F38"/>
    <w:rsid w:val="00934301"/>
    <w:rsid w:val="0093510E"/>
    <w:rsid w:val="00936C2D"/>
    <w:rsid w:val="00936CD1"/>
    <w:rsid w:val="00941747"/>
    <w:rsid w:val="00941EFB"/>
    <w:rsid w:val="009465BD"/>
    <w:rsid w:val="00947AFB"/>
    <w:rsid w:val="00951D7D"/>
    <w:rsid w:val="009556E4"/>
    <w:rsid w:val="009630C7"/>
    <w:rsid w:val="009705DA"/>
    <w:rsid w:val="00972B55"/>
    <w:rsid w:val="00973C1E"/>
    <w:rsid w:val="009743B7"/>
    <w:rsid w:val="0098228B"/>
    <w:rsid w:val="009828DA"/>
    <w:rsid w:val="00983497"/>
    <w:rsid w:val="00985BAB"/>
    <w:rsid w:val="00986350"/>
    <w:rsid w:val="00986D52"/>
    <w:rsid w:val="009A3433"/>
    <w:rsid w:val="009A52EA"/>
    <w:rsid w:val="009B1B5F"/>
    <w:rsid w:val="009B6673"/>
    <w:rsid w:val="009B796D"/>
    <w:rsid w:val="009C13EC"/>
    <w:rsid w:val="009C191B"/>
    <w:rsid w:val="009C2BD6"/>
    <w:rsid w:val="009D052B"/>
    <w:rsid w:val="009E1F32"/>
    <w:rsid w:val="009E551D"/>
    <w:rsid w:val="009E776C"/>
    <w:rsid w:val="00A00144"/>
    <w:rsid w:val="00A01979"/>
    <w:rsid w:val="00A07637"/>
    <w:rsid w:val="00A165B8"/>
    <w:rsid w:val="00A171C2"/>
    <w:rsid w:val="00A1726E"/>
    <w:rsid w:val="00A204CF"/>
    <w:rsid w:val="00A23D49"/>
    <w:rsid w:val="00A27004"/>
    <w:rsid w:val="00A27D93"/>
    <w:rsid w:val="00A27F97"/>
    <w:rsid w:val="00A30C29"/>
    <w:rsid w:val="00A348C6"/>
    <w:rsid w:val="00A34DD6"/>
    <w:rsid w:val="00A36819"/>
    <w:rsid w:val="00A36989"/>
    <w:rsid w:val="00A423DD"/>
    <w:rsid w:val="00A43628"/>
    <w:rsid w:val="00A45145"/>
    <w:rsid w:val="00A504AA"/>
    <w:rsid w:val="00A50E3D"/>
    <w:rsid w:val="00A54192"/>
    <w:rsid w:val="00A6035E"/>
    <w:rsid w:val="00A6144C"/>
    <w:rsid w:val="00A64407"/>
    <w:rsid w:val="00A646F0"/>
    <w:rsid w:val="00A66617"/>
    <w:rsid w:val="00A671F8"/>
    <w:rsid w:val="00A673A4"/>
    <w:rsid w:val="00A724AE"/>
    <w:rsid w:val="00A73329"/>
    <w:rsid w:val="00A7465D"/>
    <w:rsid w:val="00A77E95"/>
    <w:rsid w:val="00A80A6D"/>
    <w:rsid w:val="00A82359"/>
    <w:rsid w:val="00A8607A"/>
    <w:rsid w:val="00A865D2"/>
    <w:rsid w:val="00A939C7"/>
    <w:rsid w:val="00A9493D"/>
    <w:rsid w:val="00A94C20"/>
    <w:rsid w:val="00AA227F"/>
    <w:rsid w:val="00AA3BC7"/>
    <w:rsid w:val="00AA552A"/>
    <w:rsid w:val="00AA754A"/>
    <w:rsid w:val="00AB099E"/>
    <w:rsid w:val="00AB4328"/>
    <w:rsid w:val="00AC728D"/>
    <w:rsid w:val="00AD412E"/>
    <w:rsid w:val="00AE0A2E"/>
    <w:rsid w:val="00AE1B82"/>
    <w:rsid w:val="00AE354C"/>
    <w:rsid w:val="00AF4B07"/>
    <w:rsid w:val="00AF5EF1"/>
    <w:rsid w:val="00AF6186"/>
    <w:rsid w:val="00AF7A3A"/>
    <w:rsid w:val="00B00449"/>
    <w:rsid w:val="00B10CB6"/>
    <w:rsid w:val="00B11545"/>
    <w:rsid w:val="00B14101"/>
    <w:rsid w:val="00B149D6"/>
    <w:rsid w:val="00B160DB"/>
    <w:rsid w:val="00B20836"/>
    <w:rsid w:val="00B211EC"/>
    <w:rsid w:val="00B22D2C"/>
    <w:rsid w:val="00B235BB"/>
    <w:rsid w:val="00B27A44"/>
    <w:rsid w:val="00B30BBF"/>
    <w:rsid w:val="00B33C03"/>
    <w:rsid w:val="00B34292"/>
    <w:rsid w:val="00B35075"/>
    <w:rsid w:val="00B416BC"/>
    <w:rsid w:val="00B44D67"/>
    <w:rsid w:val="00B44E56"/>
    <w:rsid w:val="00B46543"/>
    <w:rsid w:val="00B47D33"/>
    <w:rsid w:val="00B52BE0"/>
    <w:rsid w:val="00B54133"/>
    <w:rsid w:val="00B701ED"/>
    <w:rsid w:val="00B711B7"/>
    <w:rsid w:val="00B8086C"/>
    <w:rsid w:val="00B810E2"/>
    <w:rsid w:val="00B8147D"/>
    <w:rsid w:val="00B861B4"/>
    <w:rsid w:val="00B86DFE"/>
    <w:rsid w:val="00B90990"/>
    <w:rsid w:val="00B91595"/>
    <w:rsid w:val="00B922FF"/>
    <w:rsid w:val="00B9281E"/>
    <w:rsid w:val="00B93720"/>
    <w:rsid w:val="00B93925"/>
    <w:rsid w:val="00B95187"/>
    <w:rsid w:val="00B9776F"/>
    <w:rsid w:val="00BA2D55"/>
    <w:rsid w:val="00BA38DF"/>
    <w:rsid w:val="00BA71B1"/>
    <w:rsid w:val="00BB0637"/>
    <w:rsid w:val="00BB345F"/>
    <w:rsid w:val="00BB68EA"/>
    <w:rsid w:val="00BC1C27"/>
    <w:rsid w:val="00BC4A8F"/>
    <w:rsid w:val="00BC6BBF"/>
    <w:rsid w:val="00BD1572"/>
    <w:rsid w:val="00BE1043"/>
    <w:rsid w:val="00BE14E3"/>
    <w:rsid w:val="00BE3774"/>
    <w:rsid w:val="00BE41E5"/>
    <w:rsid w:val="00BF2044"/>
    <w:rsid w:val="00BF4109"/>
    <w:rsid w:val="00BF4CC3"/>
    <w:rsid w:val="00BF7C5A"/>
    <w:rsid w:val="00C02D89"/>
    <w:rsid w:val="00C03B97"/>
    <w:rsid w:val="00C0467C"/>
    <w:rsid w:val="00C054C7"/>
    <w:rsid w:val="00C057B5"/>
    <w:rsid w:val="00C06E15"/>
    <w:rsid w:val="00C11361"/>
    <w:rsid w:val="00C1262B"/>
    <w:rsid w:val="00C132AD"/>
    <w:rsid w:val="00C206AD"/>
    <w:rsid w:val="00C22224"/>
    <w:rsid w:val="00C22687"/>
    <w:rsid w:val="00C24396"/>
    <w:rsid w:val="00C258A6"/>
    <w:rsid w:val="00C32E4D"/>
    <w:rsid w:val="00C333A0"/>
    <w:rsid w:val="00C36408"/>
    <w:rsid w:val="00C36A81"/>
    <w:rsid w:val="00C411D5"/>
    <w:rsid w:val="00C41974"/>
    <w:rsid w:val="00C533A6"/>
    <w:rsid w:val="00C53F4A"/>
    <w:rsid w:val="00C54125"/>
    <w:rsid w:val="00C55B54"/>
    <w:rsid w:val="00C6044E"/>
    <w:rsid w:val="00C6098E"/>
    <w:rsid w:val="00C611D8"/>
    <w:rsid w:val="00C6152C"/>
    <w:rsid w:val="00C61E1D"/>
    <w:rsid w:val="00C63990"/>
    <w:rsid w:val="00C64EF6"/>
    <w:rsid w:val="00C71A96"/>
    <w:rsid w:val="00C73267"/>
    <w:rsid w:val="00C74810"/>
    <w:rsid w:val="00C75035"/>
    <w:rsid w:val="00C90D68"/>
    <w:rsid w:val="00C939FE"/>
    <w:rsid w:val="00C93BAA"/>
    <w:rsid w:val="00C949FA"/>
    <w:rsid w:val="00C964F9"/>
    <w:rsid w:val="00CA4BDA"/>
    <w:rsid w:val="00CA765A"/>
    <w:rsid w:val="00CB1F66"/>
    <w:rsid w:val="00CB2951"/>
    <w:rsid w:val="00CB7C13"/>
    <w:rsid w:val="00CD282B"/>
    <w:rsid w:val="00CD421A"/>
    <w:rsid w:val="00CD4C35"/>
    <w:rsid w:val="00CD7369"/>
    <w:rsid w:val="00CE0B0E"/>
    <w:rsid w:val="00CE3831"/>
    <w:rsid w:val="00CE4BBB"/>
    <w:rsid w:val="00CE5C30"/>
    <w:rsid w:val="00D00ABB"/>
    <w:rsid w:val="00D02EEC"/>
    <w:rsid w:val="00D03551"/>
    <w:rsid w:val="00D0499B"/>
    <w:rsid w:val="00D06A63"/>
    <w:rsid w:val="00D07E0E"/>
    <w:rsid w:val="00D11478"/>
    <w:rsid w:val="00D13ED2"/>
    <w:rsid w:val="00D15ED0"/>
    <w:rsid w:val="00D21B3E"/>
    <w:rsid w:val="00D21FED"/>
    <w:rsid w:val="00D24251"/>
    <w:rsid w:val="00D25C88"/>
    <w:rsid w:val="00D343E2"/>
    <w:rsid w:val="00D361A2"/>
    <w:rsid w:val="00D37C1F"/>
    <w:rsid w:val="00D42AFF"/>
    <w:rsid w:val="00D44C2E"/>
    <w:rsid w:val="00D45414"/>
    <w:rsid w:val="00D4761D"/>
    <w:rsid w:val="00D53992"/>
    <w:rsid w:val="00D562C7"/>
    <w:rsid w:val="00D566BD"/>
    <w:rsid w:val="00D57A4D"/>
    <w:rsid w:val="00D60AA7"/>
    <w:rsid w:val="00D61264"/>
    <w:rsid w:val="00D6435F"/>
    <w:rsid w:val="00D65202"/>
    <w:rsid w:val="00D73543"/>
    <w:rsid w:val="00D73920"/>
    <w:rsid w:val="00D75E28"/>
    <w:rsid w:val="00D772C2"/>
    <w:rsid w:val="00D77D93"/>
    <w:rsid w:val="00D8008E"/>
    <w:rsid w:val="00D82C45"/>
    <w:rsid w:val="00D908A8"/>
    <w:rsid w:val="00D977B6"/>
    <w:rsid w:val="00DA4A31"/>
    <w:rsid w:val="00DA7B04"/>
    <w:rsid w:val="00DB36C2"/>
    <w:rsid w:val="00DC01CA"/>
    <w:rsid w:val="00DC169B"/>
    <w:rsid w:val="00DC2AB9"/>
    <w:rsid w:val="00DC63F0"/>
    <w:rsid w:val="00DD30EC"/>
    <w:rsid w:val="00DD5146"/>
    <w:rsid w:val="00DD67FB"/>
    <w:rsid w:val="00DD6EE5"/>
    <w:rsid w:val="00DE386C"/>
    <w:rsid w:val="00DE4D35"/>
    <w:rsid w:val="00DF098B"/>
    <w:rsid w:val="00DF0FD7"/>
    <w:rsid w:val="00DF11C4"/>
    <w:rsid w:val="00DF210C"/>
    <w:rsid w:val="00DF4B6A"/>
    <w:rsid w:val="00DF6DB5"/>
    <w:rsid w:val="00E00A99"/>
    <w:rsid w:val="00E01E65"/>
    <w:rsid w:val="00E02C09"/>
    <w:rsid w:val="00E04D59"/>
    <w:rsid w:val="00E07DA1"/>
    <w:rsid w:val="00E11355"/>
    <w:rsid w:val="00E123CB"/>
    <w:rsid w:val="00E20E13"/>
    <w:rsid w:val="00E21DBC"/>
    <w:rsid w:val="00E275D7"/>
    <w:rsid w:val="00E27DBE"/>
    <w:rsid w:val="00E32AB1"/>
    <w:rsid w:val="00E36C71"/>
    <w:rsid w:val="00E40404"/>
    <w:rsid w:val="00E4529A"/>
    <w:rsid w:val="00E459C6"/>
    <w:rsid w:val="00E47589"/>
    <w:rsid w:val="00E503AB"/>
    <w:rsid w:val="00E516C1"/>
    <w:rsid w:val="00E56716"/>
    <w:rsid w:val="00E64915"/>
    <w:rsid w:val="00E661D4"/>
    <w:rsid w:val="00E70091"/>
    <w:rsid w:val="00E720F5"/>
    <w:rsid w:val="00E7394A"/>
    <w:rsid w:val="00E76D47"/>
    <w:rsid w:val="00E77CB3"/>
    <w:rsid w:val="00E80C71"/>
    <w:rsid w:val="00E849F7"/>
    <w:rsid w:val="00E90302"/>
    <w:rsid w:val="00E97396"/>
    <w:rsid w:val="00EA185E"/>
    <w:rsid w:val="00EA592A"/>
    <w:rsid w:val="00EB14E4"/>
    <w:rsid w:val="00EB2502"/>
    <w:rsid w:val="00EB32A5"/>
    <w:rsid w:val="00EB34ED"/>
    <w:rsid w:val="00EB7BE0"/>
    <w:rsid w:val="00EB7E63"/>
    <w:rsid w:val="00EC2012"/>
    <w:rsid w:val="00EC2DA3"/>
    <w:rsid w:val="00EC315E"/>
    <w:rsid w:val="00EC6763"/>
    <w:rsid w:val="00ED077C"/>
    <w:rsid w:val="00ED1190"/>
    <w:rsid w:val="00ED3B3E"/>
    <w:rsid w:val="00ED6544"/>
    <w:rsid w:val="00EE0277"/>
    <w:rsid w:val="00EE3E00"/>
    <w:rsid w:val="00EE4896"/>
    <w:rsid w:val="00EE5DD2"/>
    <w:rsid w:val="00F00A79"/>
    <w:rsid w:val="00F00E86"/>
    <w:rsid w:val="00F07C1E"/>
    <w:rsid w:val="00F105DB"/>
    <w:rsid w:val="00F132BC"/>
    <w:rsid w:val="00F13D80"/>
    <w:rsid w:val="00F14141"/>
    <w:rsid w:val="00F15FB2"/>
    <w:rsid w:val="00F16AAA"/>
    <w:rsid w:val="00F21161"/>
    <w:rsid w:val="00F218EF"/>
    <w:rsid w:val="00F21BC7"/>
    <w:rsid w:val="00F21D6B"/>
    <w:rsid w:val="00F233DF"/>
    <w:rsid w:val="00F266A2"/>
    <w:rsid w:val="00F32269"/>
    <w:rsid w:val="00F3723F"/>
    <w:rsid w:val="00F501E3"/>
    <w:rsid w:val="00F50223"/>
    <w:rsid w:val="00F56A6F"/>
    <w:rsid w:val="00F5709C"/>
    <w:rsid w:val="00F622BE"/>
    <w:rsid w:val="00F64EF1"/>
    <w:rsid w:val="00F702BF"/>
    <w:rsid w:val="00F73990"/>
    <w:rsid w:val="00F73CE1"/>
    <w:rsid w:val="00F815F5"/>
    <w:rsid w:val="00F84E79"/>
    <w:rsid w:val="00F8765F"/>
    <w:rsid w:val="00F90767"/>
    <w:rsid w:val="00F96BB8"/>
    <w:rsid w:val="00F972AE"/>
    <w:rsid w:val="00FA685B"/>
    <w:rsid w:val="00FB0C01"/>
    <w:rsid w:val="00FB4FA7"/>
    <w:rsid w:val="00FB74EA"/>
    <w:rsid w:val="00FC18F2"/>
    <w:rsid w:val="00FC2C46"/>
    <w:rsid w:val="00FC39E5"/>
    <w:rsid w:val="00FC3A78"/>
    <w:rsid w:val="00FC4504"/>
    <w:rsid w:val="00FD1005"/>
    <w:rsid w:val="00FD6C75"/>
    <w:rsid w:val="00FE71B3"/>
    <w:rsid w:val="00FF42C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6C08"/>
    <w:pPr>
      <w:jc w:val="both"/>
    </w:pPr>
    <w:rPr>
      <w:rFonts w:eastAsia="MS Mincho"/>
      <w:sz w:val="24"/>
      <w:lang w:val="en-US" w:eastAsia="en-US"/>
    </w:rPr>
  </w:style>
  <w:style w:type="paragraph" w:styleId="Heading1">
    <w:name w:val="heading 1"/>
    <w:basedOn w:val="Normal"/>
    <w:next w:val="Normal"/>
    <w:link w:val="Heading1Char"/>
    <w:uiPriority w:val="99"/>
    <w:qFormat/>
    <w:rsid w:val="002F6C08"/>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2F6C08"/>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2F6C08"/>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2F6C08"/>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2F6C08"/>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2F6C08"/>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2F6C08"/>
    <w:pPr>
      <w:outlineLvl w:val="6"/>
    </w:pPr>
    <w:rPr>
      <w:rFonts w:eastAsia="MS Gothic"/>
      <w:i/>
      <w:iCs/>
      <w:sz w:val="22"/>
    </w:rPr>
  </w:style>
  <w:style w:type="paragraph" w:styleId="Heading8">
    <w:name w:val="heading 8"/>
    <w:basedOn w:val="Normal"/>
    <w:next w:val="Normal"/>
    <w:link w:val="Heading8Char"/>
    <w:uiPriority w:val="99"/>
    <w:qFormat/>
    <w:rsid w:val="002F6C08"/>
    <w:pPr>
      <w:outlineLvl w:val="7"/>
    </w:pPr>
    <w:rPr>
      <w:rFonts w:eastAsia="MS Gothic"/>
      <w:sz w:val="20"/>
      <w:szCs w:val="20"/>
    </w:rPr>
  </w:style>
  <w:style w:type="paragraph" w:styleId="Heading9">
    <w:name w:val="heading 9"/>
    <w:basedOn w:val="Normal"/>
    <w:next w:val="Normal"/>
    <w:link w:val="Heading9Char"/>
    <w:uiPriority w:val="99"/>
    <w:qFormat/>
    <w:rsid w:val="002F6C08"/>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2F6C08"/>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2F6C08"/>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2F6C08"/>
    <w:rPr>
      <w:rFonts w:ascii="Times New Roman" w:eastAsia="MS Gothic" w:hAnsi="Times New Roman" w:cs="Times New Roman"/>
      <w:b/>
      <w:bCs/>
      <w:color w:val="5F5F5F"/>
      <w:sz w:val="24"/>
    </w:rPr>
  </w:style>
  <w:style w:type="character" w:customStyle="1" w:styleId="Heading4Char">
    <w:name w:val="Heading 4 Char"/>
    <w:basedOn w:val="DefaultParagraphFont"/>
    <w:link w:val="Heading4"/>
    <w:uiPriority w:val="99"/>
    <w:semiHidden/>
    <w:locked/>
    <w:rsid w:val="002F6C08"/>
    <w:rPr>
      <w:rFonts w:ascii="Times New Roman" w:eastAsia="MS Gothic"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2F6C08"/>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2F6C08"/>
    <w:rPr>
      <w:rFonts w:ascii="Times New Roman" w:eastAsia="MS Gothic"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2F6C08"/>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2F6C08"/>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2F6C08"/>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2F6C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C08"/>
    <w:rPr>
      <w:rFonts w:ascii="Tahoma" w:eastAsia="MS Mincho" w:hAnsi="Tahoma" w:cs="Tahoma"/>
      <w:sz w:val="16"/>
      <w:szCs w:val="16"/>
    </w:rPr>
  </w:style>
  <w:style w:type="character" w:styleId="BookTitle">
    <w:name w:val="Book Title"/>
    <w:basedOn w:val="DefaultParagraphFont"/>
    <w:uiPriority w:val="99"/>
    <w:qFormat/>
    <w:rsid w:val="002F6C08"/>
    <w:rPr>
      <w:i/>
      <w:smallCaps/>
      <w:spacing w:val="5"/>
    </w:rPr>
  </w:style>
  <w:style w:type="paragraph" w:customStyle="1" w:styleId="ECHRHeader">
    <w:name w:val="ECHR_Header"/>
    <w:aliases w:val="Ju_Header"/>
    <w:basedOn w:val="Header"/>
    <w:uiPriority w:val="99"/>
    <w:rsid w:val="002F6C08"/>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semiHidden/>
    <w:rsid w:val="002F6C08"/>
    <w:pPr>
      <w:jc w:val="left"/>
    </w:pPr>
    <w:rPr>
      <w:sz w:val="8"/>
    </w:rPr>
  </w:style>
  <w:style w:type="character" w:styleId="Strong">
    <w:name w:val="Strong"/>
    <w:basedOn w:val="DefaultParagraphFont"/>
    <w:uiPriority w:val="99"/>
    <w:qFormat/>
    <w:rsid w:val="002F6C08"/>
    <w:rPr>
      <w:rFonts w:cs="Times New Roman"/>
      <w:b/>
    </w:rPr>
  </w:style>
  <w:style w:type="paragraph" w:styleId="NoSpacing">
    <w:name w:val="No Spacing"/>
    <w:basedOn w:val="Normal"/>
    <w:link w:val="NoSpacingChar"/>
    <w:uiPriority w:val="99"/>
    <w:qFormat/>
    <w:rsid w:val="002F6C08"/>
    <w:rPr>
      <w:sz w:val="22"/>
    </w:rPr>
  </w:style>
  <w:style w:type="character" w:customStyle="1" w:styleId="NoSpacingChar">
    <w:name w:val="No Spacing Char"/>
    <w:basedOn w:val="DefaultParagraphFont"/>
    <w:link w:val="NoSpacing"/>
    <w:uiPriority w:val="99"/>
    <w:semiHidden/>
    <w:locked/>
    <w:rsid w:val="002F6C08"/>
    <w:rPr>
      <w:rFonts w:eastAsia="MS Mincho" w:cs="Times New Roman"/>
    </w:rPr>
  </w:style>
  <w:style w:type="paragraph" w:customStyle="1" w:styleId="JuParaSub">
    <w:name w:val="Ju_Para_Sub"/>
    <w:basedOn w:val="ECHRPara"/>
    <w:uiPriority w:val="99"/>
    <w:rsid w:val="002F6C08"/>
    <w:pPr>
      <w:ind w:left="284"/>
    </w:pPr>
  </w:style>
  <w:style w:type="paragraph" w:customStyle="1" w:styleId="ECHRFooterLine">
    <w:name w:val="ECHR_Footer_Line"/>
    <w:aliases w:val="Footer_Line"/>
    <w:basedOn w:val="Normal"/>
    <w:next w:val="ECHRFooter"/>
    <w:uiPriority w:val="99"/>
    <w:semiHidden/>
    <w:rsid w:val="002F6C0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2F6C08"/>
    <w:pPr>
      <w:numPr>
        <w:numId w:val="35"/>
      </w:numPr>
      <w:jc w:val="left"/>
    </w:pPr>
    <w:rPr>
      <w:b/>
    </w:rPr>
  </w:style>
  <w:style w:type="paragraph" w:customStyle="1" w:styleId="OpiPara">
    <w:name w:val="Opi_Para"/>
    <w:basedOn w:val="ECHRPara"/>
    <w:uiPriority w:val="99"/>
    <w:rsid w:val="002F6C08"/>
  </w:style>
  <w:style w:type="paragraph" w:customStyle="1" w:styleId="ECHRTitleCentre3">
    <w:name w:val="ECHR_Title_Centre_3"/>
    <w:aliases w:val="Ju_H_Article"/>
    <w:basedOn w:val="Normal"/>
    <w:next w:val="ECHRParaQuote"/>
    <w:uiPriority w:val="99"/>
    <w:rsid w:val="002F6C08"/>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2F6C08"/>
    <w:pPr>
      <w:keepNext/>
      <w:keepLines/>
      <w:spacing w:after="240"/>
      <w:jc w:val="center"/>
      <w:outlineLvl w:val="0"/>
    </w:pPr>
    <w:rPr>
      <w:sz w:val="28"/>
    </w:rPr>
  </w:style>
  <w:style w:type="paragraph" w:customStyle="1" w:styleId="OpiParaSub">
    <w:name w:val="Opi_Para_Sub"/>
    <w:basedOn w:val="JuParaSub"/>
    <w:uiPriority w:val="99"/>
    <w:rsid w:val="002F6C08"/>
  </w:style>
  <w:style w:type="paragraph" w:customStyle="1" w:styleId="OpiQuot">
    <w:name w:val="Opi_Quot"/>
    <w:basedOn w:val="ECHRParaQuote"/>
    <w:uiPriority w:val="99"/>
    <w:rsid w:val="002F6C08"/>
  </w:style>
  <w:style w:type="paragraph" w:customStyle="1" w:styleId="OpiQuotSub">
    <w:name w:val="Opi_Quot_Sub"/>
    <w:basedOn w:val="JuQuotSub"/>
    <w:uiPriority w:val="99"/>
    <w:rsid w:val="002F6C08"/>
  </w:style>
  <w:style w:type="paragraph" w:customStyle="1" w:styleId="ECHRTitleCentre2">
    <w:name w:val="ECHR_Title_Centre_2"/>
    <w:aliases w:val="Dec_H_Case"/>
    <w:basedOn w:val="Normal"/>
    <w:next w:val="ECHRPara"/>
    <w:uiPriority w:val="99"/>
    <w:rsid w:val="002F6C08"/>
    <w:pPr>
      <w:spacing w:after="240"/>
      <w:jc w:val="center"/>
      <w:outlineLvl w:val="0"/>
    </w:pPr>
  </w:style>
  <w:style w:type="paragraph" w:customStyle="1" w:styleId="JuQuotSub">
    <w:name w:val="Ju_Quot_Sub"/>
    <w:basedOn w:val="ECHRParaQuote"/>
    <w:uiPriority w:val="99"/>
    <w:rsid w:val="002F6C08"/>
    <w:pPr>
      <w:ind w:left="567"/>
    </w:pPr>
  </w:style>
  <w:style w:type="paragraph" w:styleId="Title">
    <w:name w:val="Title"/>
    <w:basedOn w:val="Normal"/>
    <w:next w:val="Normal"/>
    <w:link w:val="TitleChar"/>
    <w:uiPriority w:val="99"/>
    <w:qFormat/>
    <w:rsid w:val="002F6C08"/>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2F6C08"/>
    <w:rPr>
      <w:rFonts w:ascii="Times New Roman" w:eastAsia="MS Gothic" w:hAnsi="Times New Roman" w:cs="Times New Roman"/>
      <w:spacing w:val="5"/>
      <w:sz w:val="52"/>
      <w:szCs w:val="52"/>
    </w:rPr>
  </w:style>
  <w:style w:type="paragraph" w:customStyle="1" w:styleId="ECHRHeading3">
    <w:name w:val="ECHR_Heading_3"/>
    <w:aliases w:val="Ju_H_1."/>
    <w:basedOn w:val="Heading3"/>
    <w:next w:val="ECHRPara"/>
    <w:uiPriority w:val="99"/>
    <w:rsid w:val="002F6C0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99"/>
    <w:rsid w:val="002F6C0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99"/>
    <w:rsid w:val="002F6C0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2F6C0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99"/>
    <w:rsid w:val="002F6C08"/>
    <w:pPr>
      <w:keepNext/>
      <w:keepLines/>
      <w:spacing w:before="240" w:after="120"/>
      <w:ind w:left="1236"/>
    </w:pPr>
    <w:rPr>
      <w:sz w:val="20"/>
    </w:rPr>
  </w:style>
  <w:style w:type="paragraph" w:customStyle="1" w:styleId="JuInitialled">
    <w:name w:val="Ju_Initialled"/>
    <w:basedOn w:val="Normal"/>
    <w:uiPriority w:val="99"/>
    <w:rsid w:val="002F6C08"/>
    <w:pPr>
      <w:tabs>
        <w:tab w:val="center" w:pos="6407"/>
      </w:tabs>
      <w:spacing w:before="720"/>
      <w:jc w:val="right"/>
    </w:pPr>
  </w:style>
  <w:style w:type="paragraph" w:customStyle="1" w:styleId="OpiHA">
    <w:name w:val="Opi_H_A"/>
    <w:basedOn w:val="ECHRHeading1"/>
    <w:next w:val="OpiPara"/>
    <w:uiPriority w:val="99"/>
    <w:rsid w:val="002F6C08"/>
    <w:pPr>
      <w:tabs>
        <w:tab w:val="clear" w:pos="357"/>
      </w:tabs>
      <w:outlineLvl w:val="1"/>
    </w:pPr>
    <w:rPr>
      <w:b/>
    </w:rPr>
  </w:style>
  <w:style w:type="character" w:customStyle="1" w:styleId="JUNAMES">
    <w:name w:val="JU_NAMES"/>
    <w:uiPriority w:val="99"/>
    <w:rsid w:val="002F6C08"/>
    <w:rPr>
      <w:smallCaps/>
    </w:rPr>
  </w:style>
  <w:style w:type="paragraph" w:styleId="Header">
    <w:name w:val="header"/>
    <w:basedOn w:val="Normal"/>
    <w:link w:val="HeaderChar"/>
    <w:uiPriority w:val="99"/>
    <w:semiHidden/>
    <w:rsid w:val="002F6C08"/>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2F6C08"/>
    <w:rPr>
      <w:rFonts w:cs="Times New Roman"/>
      <w:sz w:val="24"/>
    </w:rPr>
  </w:style>
  <w:style w:type="paragraph" w:customStyle="1" w:styleId="ECHRHeading1">
    <w:name w:val="ECHR_Heading_1"/>
    <w:aliases w:val="Ju_H_I_Roman"/>
    <w:basedOn w:val="Heading1"/>
    <w:next w:val="ECHRPara"/>
    <w:uiPriority w:val="99"/>
    <w:rsid w:val="002F6C0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99"/>
    <w:rsid w:val="002F6C08"/>
    <w:pPr>
      <w:keepNext/>
      <w:keepLines/>
      <w:tabs>
        <w:tab w:val="left" w:pos="584"/>
      </w:tabs>
      <w:spacing w:before="360" w:after="240"/>
      <w:ind w:left="584" w:hanging="352"/>
    </w:pPr>
    <w:rPr>
      <w:color w:val="auto"/>
      <w:sz w:val="24"/>
    </w:rPr>
  </w:style>
  <w:style w:type="character" w:customStyle="1" w:styleId="JuITMark">
    <w:name w:val="Ju_ITMark"/>
    <w:basedOn w:val="DefaultParagraphFont"/>
    <w:uiPriority w:val="99"/>
    <w:rsid w:val="002F6C08"/>
    <w:rPr>
      <w:rFonts w:cs="Times New Roman"/>
      <w:color w:val="auto"/>
      <w:sz w:val="14"/>
    </w:rPr>
  </w:style>
  <w:style w:type="paragraph" w:customStyle="1" w:styleId="ECHRDecisionBody">
    <w:name w:val="ECHR_Decision_Body"/>
    <w:aliases w:val="Ju_Judges"/>
    <w:basedOn w:val="Normal"/>
    <w:uiPriority w:val="99"/>
    <w:rsid w:val="002F6C08"/>
    <w:pPr>
      <w:tabs>
        <w:tab w:val="left" w:pos="567"/>
        <w:tab w:val="left" w:pos="1134"/>
      </w:tabs>
      <w:jc w:val="left"/>
    </w:pPr>
  </w:style>
  <w:style w:type="paragraph" w:customStyle="1" w:styleId="ECHRPara">
    <w:name w:val="ECHR_Para"/>
    <w:aliases w:val="Ju_Para"/>
    <w:basedOn w:val="Normal"/>
    <w:link w:val="ECHRParaChar"/>
    <w:uiPriority w:val="99"/>
    <w:rsid w:val="002F6C08"/>
    <w:pPr>
      <w:ind w:firstLine="284"/>
    </w:pPr>
  </w:style>
  <w:style w:type="character" w:styleId="SubtleEmphasis">
    <w:name w:val="Subtle Emphasis"/>
    <w:basedOn w:val="DefaultParagraphFont"/>
    <w:uiPriority w:val="99"/>
    <w:qFormat/>
    <w:rsid w:val="002F6C08"/>
    <w:rPr>
      <w:i/>
    </w:r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ECHRTitle1">
    <w:name w:val="ECHR_Title_1"/>
    <w:aliases w:val="Ju_H_Head,Title_L_1"/>
    <w:basedOn w:val="Normal"/>
    <w:next w:val="ECHRPara"/>
    <w:uiPriority w:val="99"/>
    <w:rsid w:val="002F6C08"/>
    <w:pPr>
      <w:keepNext/>
      <w:keepLines/>
      <w:spacing w:before="720" w:after="240"/>
      <w:outlineLvl w:val="0"/>
    </w:pPr>
    <w:rPr>
      <w:sz w:val="28"/>
    </w:rPr>
  </w:style>
  <w:style w:type="character" w:styleId="Emphasis">
    <w:name w:val="Emphasis"/>
    <w:basedOn w:val="DefaultParagraphFont"/>
    <w:uiPriority w:val="99"/>
    <w:qFormat/>
    <w:rsid w:val="002F6C08"/>
    <w:rPr>
      <w:rFonts w:cs="Times New Roman"/>
      <w:b/>
      <w:i/>
      <w:spacing w:val="10"/>
      <w:shd w:val="clear" w:color="auto" w:fill="auto"/>
    </w:rPr>
  </w:style>
  <w:style w:type="paragraph" w:styleId="Footer">
    <w:name w:val="footer"/>
    <w:basedOn w:val="Normal"/>
    <w:link w:val="FooterChar"/>
    <w:uiPriority w:val="99"/>
    <w:semiHidden/>
    <w:rsid w:val="002F6C08"/>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2F6C08"/>
    <w:rPr>
      <w:rFonts w:cs="Times New Roman"/>
      <w:sz w:val="24"/>
    </w:rPr>
  </w:style>
  <w:style w:type="character" w:styleId="FootnoteReference">
    <w:name w:val="footnote reference"/>
    <w:basedOn w:val="DefaultParagraphFont"/>
    <w:uiPriority w:val="99"/>
    <w:semiHidden/>
    <w:rsid w:val="002F6C08"/>
    <w:rPr>
      <w:rFonts w:cs="Times New Roman"/>
      <w:vertAlign w:val="superscript"/>
    </w:rPr>
  </w:style>
  <w:style w:type="paragraph" w:styleId="FootnoteText">
    <w:name w:val="footnote text"/>
    <w:basedOn w:val="Normal"/>
    <w:link w:val="FootnoteTextChar"/>
    <w:uiPriority w:val="99"/>
    <w:semiHidden/>
    <w:rsid w:val="002F6C08"/>
    <w:rPr>
      <w:sz w:val="20"/>
      <w:szCs w:val="20"/>
    </w:rPr>
  </w:style>
  <w:style w:type="character" w:customStyle="1" w:styleId="FootnoteTextChar">
    <w:name w:val="Footnote Text Char"/>
    <w:basedOn w:val="DefaultParagraphFont"/>
    <w:link w:val="FootnoteText"/>
    <w:uiPriority w:val="99"/>
    <w:semiHidden/>
    <w:locked/>
    <w:rsid w:val="002F6C08"/>
    <w:rPr>
      <w:rFonts w:eastAsia="MS Mincho" w:cs="Times New Roman"/>
      <w:sz w:val="20"/>
      <w:szCs w:val="20"/>
    </w:rPr>
  </w:style>
  <w:style w:type="character" w:styleId="Hyperlink">
    <w:name w:val="Hyperlink"/>
    <w:basedOn w:val="DefaultParagraphFont"/>
    <w:uiPriority w:val="99"/>
    <w:semiHidden/>
    <w:rsid w:val="002F6C08"/>
    <w:rPr>
      <w:rFonts w:cs="Times New Roman"/>
      <w:color w:val="0072BC"/>
      <w:u w:val="single"/>
    </w:rPr>
  </w:style>
  <w:style w:type="character" w:styleId="IntenseEmphasis">
    <w:name w:val="Intense Emphasis"/>
    <w:basedOn w:val="DefaultParagraphFont"/>
    <w:uiPriority w:val="99"/>
    <w:qFormat/>
    <w:rsid w:val="002F6C08"/>
    <w:rPr>
      <w:b/>
    </w:rPr>
  </w:style>
  <w:style w:type="paragraph" w:styleId="IntenseQuote">
    <w:name w:val="Intense Quote"/>
    <w:basedOn w:val="Normal"/>
    <w:next w:val="Normal"/>
    <w:link w:val="IntenseQuoteChar"/>
    <w:uiPriority w:val="99"/>
    <w:qFormat/>
    <w:rsid w:val="002F6C08"/>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2F6C08"/>
    <w:rPr>
      <w:rFonts w:eastAsia="MS Mincho" w:cs="Times New Roman"/>
      <w:b/>
      <w:bCs/>
      <w:i/>
      <w:iCs/>
    </w:rPr>
  </w:style>
  <w:style w:type="character" w:styleId="IntenseReference">
    <w:name w:val="Intense Reference"/>
    <w:basedOn w:val="DefaultParagraphFont"/>
    <w:uiPriority w:val="99"/>
    <w:qFormat/>
    <w:rsid w:val="002F6C08"/>
    <w:rPr>
      <w:smallCaps/>
      <w:spacing w:val="5"/>
      <w:u w:val="single"/>
    </w:rPr>
  </w:style>
  <w:style w:type="paragraph" w:styleId="ListParagraph">
    <w:name w:val="List Paragraph"/>
    <w:basedOn w:val="Normal"/>
    <w:uiPriority w:val="99"/>
    <w:qFormat/>
    <w:rsid w:val="002F6C08"/>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2F6C08"/>
    <w:pPr>
      <w:spacing w:before="200"/>
      <w:ind w:left="360" w:right="360"/>
    </w:pPr>
    <w:rPr>
      <w:i/>
      <w:iCs/>
      <w:sz w:val="22"/>
    </w:rPr>
  </w:style>
  <w:style w:type="character" w:customStyle="1" w:styleId="QuoteChar">
    <w:name w:val="Quote Char"/>
    <w:basedOn w:val="DefaultParagraphFont"/>
    <w:link w:val="Quote"/>
    <w:uiPriority w:val="99"/>
    <w:semiHidden/>
    <w:locked/>
    <w:rsid w:val="002F6C08"/>
    <w:rPr>
      <w:rFonts w:eastAsia="MS Mincho" w:cs="Times New Roman"/>
      <w:i/>
      <w:iCs/>
    </w:rPr>
  </w:style>
  <w:style w:type="character" w:styleId="SubtleReference">
    <w:name w:val="Subtle Reference"/>
    <w:basedOn w:val="DefaultParagraphFont"/>
    <w:uiPriority w:val="99"/>
    <w:qFormat/>
    <w:rsid w:val="002F6C08"/>
    <w:rPr>
      <w:smallCaps/>
    </w:rPr>
  </w:style>
  <w:style w:type="table" w:styleId="TableGrid">
    <w:name w:val="Table Grid"/>
    <w:basedOn w:val="TableNormal"/>
    <w:uiPriority w:val="99"/>
    <w:semiHidden/>
    <w:rsid w:val="002F6C08"/>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2F6C08"/>
    <w:pPr>
      <w:spacing w:before="120" w:after="60"/>
      <w:ind w:left="340" w:right="340" w:hanging="340"/>
    </w:pPr>
    <w:rPr>
      <w:color w:val="0D0D0D"/>
    </w:rPr>
  </w:style>
  <w:style w:type="paragraph" w:styleId="TOC2">
    <w:name w:val="toc 2"/>
    <w:basedOn w:val="Normal"/>
    <w:next w:val="Normal"/>
    <w:autoRedefine/>
    <w:uiPriority w:val="99"/>
    <w:semiHidden/>
    <w:rsid w:val="002F6C08"/>
    <w:pPr>
      <w:spacing w:after="60"/>
      <w:ind w:left="680" w:right="340" w:hanging="340"/>
    </w:pPr>
  </w:style>
  <w:style w:type="paragraph" w:styleId="TOC3">
    <w:name w:val="toc 3"/>
    <w:basedOn w:val="Normal"/>
    <w:next w:val="Normal"/>
    <w:autoRedefine/>
    <w:uiPriority w:val="99"/>
    <w:semiHidden/>
    <w:rsid w:val="002F6C08"/>
    <w:pPr>
      <w:spacing w:after="60"/>
      <w:ind w:left="1020" w:right="340" w:hanging="340"/>
    </w:pPr>
  </w:style>
  <w:style w:type="paragraph" w:styleId="TOC4">
    <w:name w:val="toc 4"/>
    <w:basedOn w:val="Normal"/>
    <w:next w:val="Normal"/>
    <w:autoRedefine/>
    <w:uiPriority w:val="99"/>
    <w:semiHidden/>
    <w:rsid w:val="002F6C08"/>
    <w:pPr>
      <w:tabs>
        <w:tab w:val="right" w:leader="dot" w:pos="9017"/>
      </w:tabs>
      <w:spacing w:after="60"/>
      <w:ind w:left="1361" w:right="340" w:hanging="340"/>
    </w:pPr>
  </w:style>
  <w:style w:type="paragraph" w:styleId="TOC5">
    <w:name w:val="toc 5"/>
    <w:basedOn w:val="Normal"/>
    <w:next w:val="Normal"/>
    <w:autoRedefine/>
    <w:uiPriority w:val="99"/>
    <w:semiHidden/>
    <w:rsid w:val="002F6C08"/>
    <w:pPr>
      <w:spacing w:after="60"/>
      <w:ind w:left="1701" w:right="340" w:hanging="340"/>
    </w:pPr>
  </w:style>
  <w:style w:type="paragraph" w:styleId="TOCHeading">
    <w:name w:val="TOC Heading"/>
    <w:basedOn w:val="Heading1"/>
    <w:next w:val="Normal"/>
    <w:uiPriority w:val="99"/>
    <w:qFormat/>
    <w:rsid w:val="002F6C08"/>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2F6C08"/>
    <w:pPr>
      <w:spacing w:before="120"/>
    </w:pPr>
    <w:rPr>
      <w:rFonts w:eastAsia="MS Gothic"/>
      <w:b/>
      <w:bCs/>
      <w:color w:val="474747"/>
      <w:szCs w:val="24"/>
    </w:rPr>
  </w:style>
  <w:style w:type="paragraph" w:customStyle="1" w:styleId="ECHRParaQuote">
    <w:name w:val="ECHR_Para_Quote"/>
    <w:aliases w:val="Ju_Quot,Para_Quote"/>
    <w:basedOn w:val="Normal"/>
    <w:uiPriority w:val="99"/>
    <w:rsid w:val="002F6C08"/>
    <w:pPr>
      <w:spacing w:before="120" w:after="120"/>
      <w:ind w:left="425" w:firstLine="142"/>
    </w:pPr>
    <w:rPr>
      <w:sz w:val="20"/>
    </w:r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2F6C08"/>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Signed">
    <w:name w:val="Ju_Signed"/>
    <w:basedOn w:val="Normal"/>
    <w:next w:val="JuParaLast"/>
    <w:uiPriority w:val="99"/>
    <w:rsid w:val="002F6C08"/>
    <w:pPr>
      <w:tabs>
        <w:tab w:val="center" w:pos="851"/>
        <w:tab w:val="center" w:pos="6407"/>
      </w:tabs>
      <w:spacing w:before="720"/>
      <w:jc w:val="left"/>
    </w:pPr>
  </w:style>
  <w:style w:type="paragraph" w:customStyle="1" w:styleId="JuParaLast">
    <w:name w:val="Ju_Para_Last"/>
    <w:basedOn w:val="Normal"/>
    <w:next w:val="ECHRPara"/>
    <w:uiPriority w:val="99"/>
    <w:rsid w:val="002F6C08"/>
    <w:pPr>
      <w:keepNext/>
      <w:keepLines/>
      <w:spacing w:before="240"/>
      <w:ind w:firstLine="284"/>
    </w:pPr>
  </w:style>
  <w:style w:type="paragraph" w:customStyle="1" w:styleId="JuCase">
    <w:name w:val="Ju_Case"/>
    <w:basedOn w:val="Normal"/>
    <w:next w:val="ECHRPara"/>
    <w:uiPriority w:val="99"/>
    <w:rsid w:val="002F6C08"/>
    <w:pPr>
      <w:ind w:firstLine="284"/>
    </w:pPr>
    <w:rPr>
      <w:b/>
    </w:rPr>
  </w:style>
  <w:style w:type="paragraph" w:customStyle="1" w:styleId="JuList">
    <w:name w:val="Ju_List"/>
    <w:basedOn w:val="Normal"/>
    <w:uiPriority w:val="99"/>
    <w:rsid w:val="002F6C08"/>
    <w:pPr>
      <w:ind w:left="340" w:hanging="340"/>
    </w:pPr>
  </w:style>
  <w:style w:type="paragraph" w:customStyle="1" w:styleId="OpiTranslation">
    <w:name w:val="Opi_Translation"/>
    <w:basedOn w:val="Normal"/>
    <w:next w:val="OpiPara"/>
    <w:uiPriority w:val="99"/>
    <w:rsid w:val="002F6C08"/>
    <w:pPr>
      <w:jc w:val="center"/>
      <w:outlineLvl w:val="0"/>
    </w:pPr>
    <w:rPr>
      <w:i/>
    </w:rPr>
  </w:style>
  <w:style w:type="character" w:styleId="PageNumber">
    <w:name w:val="page number"/>
    <w:basedOn w:val="DefaultParagraphFont"/>
    <w:uiPriority w:val="99"/>
    <w:semiHidden/>
    <w:rsid w:val="00E77CB3"/>
    <w:rPr>
      <w:rFonts w:ascii="Times New Roman" w:hAnsi="Times New Roman" w:cs="Times New Roman"/>
      <w:sz w:val="18"/>
    </w:rPr>
  </w:style>
  <w:style w:type="paragraph" w:customStyle="1" w:styleId="JuLista">
    <w:name w:val="Ju_List_a"/>
    <w:basedOn w:val="JuList"/>
    <w:uiPriority w:val="99"/>
    <w:rsid w:val="002F6C08"/>
    <w:pPr>
      <w:ind w:left="346" w:firstLine="0"/>
    </w:pPr>
  </w:style>
  <w:style w:type="paragraph" w:customStyle="1" w:styleId="JuListi">
    <w:name w:val="Ju_List_i"/>
    <w:basedOn w:val="Normal"/>
    <w:next w:val="JuLista"/>
    <w:uiPriority w:val="99"/>
    <w:rsid w:val="002F6C08"/>
    <w:pPr>
      <w:ind w:left="794"/>
    </w:pPr>
  </w:style>
  <w:style w:type="character" w:styleId="CommentReference">
    <w:name w:val="annotation reference"/>
    <w:basedOn w:val="DefaultParagraphFont"/>
    <w:uiPriority w:val="99"/>
    <w:semiHidden/>
    <w:rsid w:val="00E77CB3"/>
    <w:rPr>
      <w:rFonts w:cs="Times New Roman"/>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locked/>
    <w:rsid w:val="00E77CB3"/>
    <w:rPr>
      <w:rFonts w:eastAsia="MS Mincho" w:cs="Times New Roman"/>
      <w:sz w:val="20"/>
    </w:rPr>
  </w:style>
  <w:style w:type="character" w:styleId="EndnoteReference">
    <w:name w:val="endnote reference"/>
    <w:basedOn w:val="DefaultParagraphFont"/>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locked/>
    <w:rsid w:val="00E77CB3"/>
    <w:rPr>
      <w:rFonts w:eastAsia="MS Mincho" w:cs="Times New Roman"/>
      <w:sz w:val="20"/>
    </w:rPr>
  </w:style>
  <w:style w:type="character" w:styleId="FollowedHyperlink">
    <w:name w:val="FollowedHyperlink"/>
    <w:basedOn w:val="DefaultParagraphFont"/>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1"/>
      </w:numPr>
    </w:pPr>
  </w:style>
  <w:style w:type="paragraph" w:customStyle="1" w:styleId="DecHTitle">
    <w:name w:val="Dec_H_Title"/>
    <w:basedOn w:val="ECHRTitleCentre1"/>
    <w:uiPriority w:val="99"/>
    <w:rsid w:val="002F6C08"/>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locked/>
    <w:rsid w:val="00E77CB3"/>
    <w:rPr>
      <w:b/>
      <w:bCs/>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77CB3"/>
    <w:rPr>
      <w:rFonts w:ascii="Tahoma" w:eastAsia="MS Mincho" w:hAnsi="Tahoma" w:cs="Tahoma"/>
      <w:sz w:val="20"/>
      <w:shd w:val="clear" w:color="auto" w:fill="000080"/>
    </w:rPr>
  </w:style>
  <w:style w:type="paragraph" w:customStyle="1" w:styleId="JuCourt">
    <w:name w:val="Ju_Court"/>
    <w:basedOn w:val="Normal"/>
    <w:next w:val="Normal"/>
    <w:uiPriority w:val="99"/>
    <w:rsid w:val="002F6C08"/>
    <w:pPr>
      <w:tabs>
        <w:tab w:val="left" w:pos="907"/>
        <w:tab w:val="left" w:pos="1701"/>
        <w:tab w:val="right" w:pos="7371"/>
      </w:tabs>
      <w:spacing w:before="240"/>
      <w:ind w:left="397" w:hanging="397"/>
      <w:jc w:val="left"/>
    </w:pPr>
  </w:style>
  <w:style w:type="paragraph" w:styleId="Subtitle">
    <w:name w:val="Subtitle"/>
    <w:basedOn w:val="Normal"/>
    <w:next w:val="Normal"/>
    <w:link w:val="SubtitleChar"/>
    <w:uiPriority w:val="99"/>
    <w:qFormat/>
    <w:rsid w:val="002F6C08"/>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2F6C08"/>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E77CB3"/>
  </w:style>
  <w:style w:type="paragraph" w:styleId="BlockText">
    <w:name w:val="Block Text"/>
    <w:basedOn w:val="Normal"/>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locked/>
    <w:rsid w:val="00E77CB3"/>
    <w:rPr>
      <w:rFonts w:eastAsia="MS Mincho" w:cs="Times New Roman"/>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locked/>
    <w:rsid w:val="00E77CB3"/>
    <w:rPr>
      <w:rFonts w:eastAsia="MS Mincho" w:cs="Times New Roman"/>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locked/>
    <w:rsid w:val="00E77CB3"/>
    <w:rPr>
      <w:rFonts w:eastAsia="MS Mincho" w:cs="Times New Roman"/>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locked/>
    <w:rsid w:val="00E77CB3"/>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locked/>
    <w:rsid w:val="00E77CB3"/>
    <w:rPr>
      <w:rFonts w:eastAsia="MS Mincho" w:cs="Times New Roman"/>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77CB3"/>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7CB3"/>
    <w:rPr>
      <w:rFonts w:eastAsia="MS Mincho" w:cs="Times New Roman"/>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7CB3"/>
    <w:rPr>
      <w:rFonts w:eastAsia="MS Mincho" w:cs="Times New Roman"/>
      <w:sz w:val="16"/>
      <w:szCs w:val="16"/>
    </w:rPr>
  </w:style>
  <w:style w:type="paragraph" w:styleId="Caption">
    <w:name w:val="caption"/>
    <w:basedOn w:val="Normal"/>
    <w:next w:val="Normal"/>
    <w:uiPriority w:val="99"/>
    <w:qFormat/>
    <w:rsid w:val="00E77CB3"/>
    <w:pPr>
      <w:spacing w:after="200"/>
    </w:pPr>
    <w:rPr>
      <w:b/>
      <w:bCs/>
      <w:color w:val="0072BC"/>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locked/>
    <w:rsid w:val="00E77CB3"/>
    <w:rPr>
      <w:rFonts w:eastAsia="MS Mincho" w:cs="Times New Roman"/>
      <w:sz w:val="24"/>
    </w:rPr>
  </w:style>
  <w:style w:type="table" w:styleId="ColorfulGrid">
    <w:name w:val="Colorful Grid"/>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E77CB3"/>
    <w:rPr>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E77CB3"/>
    <w:rPr>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E77CB3"/>
    <w:rPr>
      <w:color w:val="000000"/>
      <w:sz w:val="20"/>
      <w:szCs w:val="20"/>
      <w:lang w:val="fr-FR" w:eastAsia="fr-FR"/>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77CB3"/>
    <w:rPr>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locked/>
    <w:rsid w:val="00E77CB3"/>
    <w:rPr>
      <w:rFonts w:eastAsia="MS Mincho" w:cs="Times New Roman"/>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locked/>
    <w:rsid w:val="00E77CB3"/>
    <w:rPr>
      <w:rFonts w:eastAsia="MS Mincho" w:cs="Times New Roman"/>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E77CB3"/>
    <w:rPr>
      <w:rFonts w:eastAsia="MS Gothic"/>
      <w:sz w:val="20"/>
      <w:szCs w:val="20"/>
    </w:rPr>
  </w:style>
  <w:style w:type="character" w:styleId="HTMLAcronym">
    <w:name w:val="HTML Acronym"/>
    <w:basedOn w:val="DefaultParagraphFont"/>
    <w:uiPriority w:val="99"/>
    <w:semiHidden/>
    <w:rsid w:val="00E77CB3"/>
    <w:rPr>
      <w:rFonts w:cs="Times New Roman"/>
    </w:rPr>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locked/>
    <w:rsid w:val="00E77CB3"/>
    <w:rPr>
      <w:rFonts w:eastAsia="MS Mincho" w:cs="Times New Roman"/>
      <w:i/>
      <w:iCs/>
      <w:sz w:val="24"/>
    </w:rPr>
  </w:style>
  <w:style w:type="character" w:styleId="HTMLCite">
    <w:name w:val="HTML Cite"/>
    <w:basedOn w:val="DefaultParagraphFont"/>
    <w:uiPriority w:val="99"/>
    <w:semiHidden/>
    <w:rsid w:val="00E77CB3"/>
    <w:rPr>
      <w:rFonts w:cs="Times New Roman"/>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rFonts w:cs="Times New Roman"/>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E77CB3"/>
    <w:rPr>
      <w:rFonts w:ascii="Consolas" w:eastAsia="MS Mincho"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rFonts w:cs="Times New Roman"/>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eastAsia="MS Gothic"/>
      <w:b/>
      <w:bCs/>
    </w:rPr>
  </w:style>
  <w:style w:type="table" w:styleId="LightGrid">
    <w:name w:val="Light Grid"/>
    <w:basedOn w:val="TableNormal"/>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77CB3"/>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77CB3"/>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77CB3"/>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77CB3"/>
    <w:rPr>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77CB3"/>
    <w:rPr>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77CB3"/>
    <w:rPr>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77CB3"/>
    <w:rPr>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77CB3"/>
    <w:rPr>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77CB3"/>
    <w:rPr>
      <w:color w:val="00548C"/>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77CB3"/>
    <w:rPr>
      <w:color w:val="8F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77CB3"/>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77CB3"/>
    <w:rPr>
      <w:color w:val="70707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77CB3"/>
    <w:rPr>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77CB3"/>
    <w:rPr>
      <w:color w:val="393939"/>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E77CB3"/>
    <w:rPr>
      <w:rFonts w:cs="Times New Roman"/>
    </w:rPr>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15"/>
      </w:numPr>
      <w:tabs>
        <w:tab w:val="clear" w:pos="1492"/>
        <w:tab w:val="num" w:pos="643"/>
      </w:tabs>
      <w:ind w:left="643"/>
      <w:contextualSpacing/>
    </w:pPr>
  </w:style>
  <w:style w:type="paragraph" w:styleId="ListBullet3">
    <w:name w:val="List Bullet 3"/>
    <w:basedOn w:val="Normal"/>
    <w:uiPriority w:val="99"/>
    <w:semiHidden/>
    <w:rsid w:val="00E77CB3"/>
    <w:pPr>
      <w:numPr>
        <w:numId w:val="16"/>
      </w:numPr>
      <w:tabs>
        <w:tab w:val="clear" w:pos="360"/>
        <w:tab w:val="num" w:pos="926"/>
      </w:tabs>
      <w:ind w:left="926"/>
      <w:contextualSpacing/>
    </w:pPr>
  </w:style>
  <w:style w:type="paragraph" w:styleId="ListBullet4">
    <w:name w:val="List Bullet 4"/>
    <w:basedOn w:val="Normal"/>
    <w:uiPriority w:val="99"/>
    <w:semiHidden/>
    <w:rsid w:val="00E77CB3"/>
    <w:pPr>
      <w:numPr>
        <w:numId w:val="17"/>
      </w:numPr>
      <w:tabs>
        <w:tab w:val="clear" w:pos="643"/>
        <w:tab w:val="num" w:pos="1209"/>
      </w:tabs>
      <w:ind w:left="1209"/>
      <w:contextualSpacing/>
    </w:pPr>
  </w:style>
  <w:style w:type="paragraph" w:styleId="ListBullet5">
    <w:name w:val="List Bullet 5"/>
    <w:basedOn w:val="Normal"/>
    <w:uiPriority w:val="99"/>
    <w:semiHidden/>
    <w:rsid w:val="00E77CB3"/>
    <w:pPr>
      <w:numPr>
        <w:numId w:val="18"/>
      </w:numPr>
      <w:tabs>
        <w:tab w:val="clear" w:pos="926"/>
        <w:tab w:val="num" w:pos="1492"/>
      </w:tabs>
      <w:ind w:left="1492"/>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19"/>
      </w:numPr>
      <w:tabs>
        <w:tab w:val="clear" w:pos="1209"/>
        <w:tab w:val="num" w:pos="360"/>
      </w:tabs>
      <w:ind w:left="360"/>
      <w:contextualSpacing/>
    </w:pPr>
  </w:style>
  <w:style w:type="paragraph" w:styleId="ListNumber2">
    <w:name w:val="List Number 2"/>
    <w:basedOn w:val="Normal"/>
    <w:uiPriority w:val="99"/>
    <w:semiHidden/>
    <w:rsid w:val="00E77CB3"/>
    <w:pPr>
      <w:numPr>
        <w:numId w:val="20"/>
      </w:numPr>
      <w:tabs>
        <w:tab w:val="clear" w:pos="1492"/>
        <w:tab w:val="num" w:pos="643"/>
      </w:tabs>
      <w:ind w:left="643"/>
      <w:contextualSpacing/>
    </w:pPr>
  </w:style>
  <w:style w:type="paragraph" w:styleId="ListNumber3">
    <w:name w:val="List Number 3"/>
    <w:basedOn w:val="Normal"/>
    <w:uiPriority w:val="99"/>
    <w:semiHidden/>
    <w:rsid w:val="00E77CB3"/>
    <w:pPr>
      <w:numPr>
        <w:numId w:val="21"/>
      </w:numPr>
      <w:tabs>
        <w:tab w:val="clear" w:pos="360"/>
        <w:tab w:val="num" w:pos="926"/>
      </w:tabs>
      <w:ind w:left="926"/>
      <w:contextualSpacing/>
    </w:pPr>
  </w:style>
  <w:style w:type="paragraph" w:styleId="ListNumber4">
    <w:name w:val="List Number 4"/>
    <w:basedOn w:val="Normal"/>
    <w:uiPriority w:val="99"/>
    <w:semiHidden/>
    <w:rsid w:val="00E77CB3"/>
    <w:pPr>
      <w:numPr>
        <w:numId w:val="22"/>
      </w:numPr>
      <w:tabs>
        <w:tab w:val="num" w:pos="1209"/>
      </w:tabs>
      <w:ind w:left="1209"/>
      <w:contextualSpacing/>
    </w:pPr>
  </w:style>
  <w:style w:type="paragraph" w:styleId="ListNumber5">
    <w:name w:val="List Number 5"/>
    <w:basedOn w:val="Normal"/>
    <w:uiPriority w:val="99"/>
    <w:semiHidden/>
    <w:rsid w:val="00E77CB3"/>
    <w:pPr>
      <w:numPr>
        <w:numId w:val="23"/>
      </w:numPr>
      <w:tabs>
        <w:tab w:val="num" w:pos="1492"/>
      </w:tabs>
      <w:ind w:left="1492"/>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E77CB3"/>
    <w:rPr>
      <w:rFonts w:ascii="Consolas" w:eastAsia="MS Mincho" w:hAnsi="Consolas" w:cs="Consolas"/>
      <w:lang w:val="en-US" w:eastAsia="en-US" w:bidi="ar-SA"/>
    </w:rPr>
  </w:style>
  <w:style w:type="table" w:styleId="MediumGrid1">
    <w:name w:val="Medium Grid 1"/>
    <w:basedOn w:val="TableNormal"/>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E77CB3"/>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E77CB3"/>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E77CB3"/>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77CB3"/>
    <w:rPr>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E77CB3"/>
    <w:rPr>
      <w:color w:val="000000"/>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E77CB3"/>
    <w:rPr>
      <w:rFonts w:eastAsia="MS Gothic"/>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E77CB3"/>
    <w:rPr>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E77CB3"/>
    <w:rPr>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E77CB3"/>
    <w:rPr>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E77CB3"/>
    <w:rPr>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E77CB3"/>
    <w:rPr>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E77CB3"/>
    <w:rPr>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E77CB3"/>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E77CB3"/>
    <w:rPr>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locked/>
    <w:rsid w:val="00E77CB3"/>
    <w:rPr>
      <w:rFonts w:eastAsia="MS Mincho" w:cs="Times New Roman"/>
      <w:sz w:val="24"/>
    </w:rPr>
  </w:style>
  <w:style w:type="character" w:styleId="PlaceholderText">
    <w:name w:val="Placeholder Text"/>
    <w:basedOn w:val="DefaultParagraphFont"/>
    <w:uiPriority w:val="99"/>
    <w:semiHidden/>
    <w:rsid w:val="00E77CB3"/>
    <w:rPr>
      <w:rFonts w:cs="Times New Roman"/>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77CB3"/>
    <w:rPr>
      <w:rFonts w:ascii="Consolas" w:eastAsia="MS Mincho"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locked/>
    <w:rsid w:val="00E77CB3"/>
    <w:rPr>
      <w:rFonts w:eastAsia="MS Mincho" w:cs="Times New Roman"/>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locked/>
    <w:rsid w:val="00E77CB3"/>
    <w:rPr>
      <w:rFonts w:eastAsia="MS Mincho" w:cs="Times New Roman"/>
      <w:sz w:val="24"/>
    </w:rPr>
  </w:style>
  <w:style w:type="table" w:styleId="Table3Deffects1">
    <w:name w:val="Table 3D effects 1"/>
    <w:basedOn w:val="TableNormal"/>
    <w:uiPriority w:val="99"/>
    <w:semiHidden/>
    <w:rsid w:val="00E77CB3"/>
    <w:pPr>
      <w:jc w:val="both"/>
    </w:pPr>
    <w:rPr>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sz w:val="20"/>
      <w:szCs w:val="20"/>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77CB3"/>
    <w:pPr>
      <w:jc w:val="both"/>
    </w:pPr>
    <w:rPr>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E77CB3"/>
    <w:pPr>
      <w:jc w:val="both"/>
    </w:pPr>
    <w:rPr>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sz w:val="20"/>
      <w:szCs w:val="20"/>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sz w:val="20"/>
      <w:szCs w:val="20"/>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basedOn w:val="NoSpacingChar"/>
    <w:link w:val="ECHRPara"/>
    <w:uiPriority w:val="99"/>
    <w:locked/>
    <w:rsid w:val="00790333"/>
    <w:rPr>
      <w:sz w:val="24"/>
    </w:rPr>
  </w:style>
  <w:style w:type="paragraph" w:customStyle="1" w:styleId="DecList">
    <w:name w:val="Dec_List"/>
    <w:basedOn w:val="Normal"/>
    <w:uiPriority w:val="99"/>
    <w:rsid w:val="002F6C08"/>
    <w:pPr>
      <w:spacing w:before="240"/>
      <w:ind w:left="284"/>
    </w:pPr>
  </w:style>
  <w:style w:type="paragraph" w:customStyle="1" w:styleId="OpiH1">
    <w:name w:val="Opi_H_1"/>
    <w:basedOn w:val="ECHRHeading2"/>
    <w:uiPriority w:val="99"/>
    <w:rsid w:val="002F6C08"/>
    <w:pPr>
      <w:ind w:left="635" w:hanging="357"/>
      <w:outlineLvl w:val="2"/>
    </w:pPr>
  </w:style>
  <w:style w:type="paragraph" w:customStyle="1" w:styleId="JuTitle">
    <w:name w:val="Ju_Title"/>
    <w:basedOn w:val="Normal"/>
    <w:next w:val="ECHRPara"/>
    <w:uiPriority w:val="99"/>
    <w:rsid w:val="002F6C08"/>
    <w:pPr>
      <w:spacing w:before="720" w:after="240"/>
      <w:jc w:val="center"/>
      <w:outlineLvl w:val="0"/>
    </w:pPr>
    <w:rPr>
      <w:b/>
      <w:caps/>
    </w:rPr>
  </w:style>
  <w:style w:type="paragraph" w:customStyle="1" w:styleId="OpiHa0">
    <w:name w:val="Opi_H_a"/>
    <w:basedOn w:val="ECHRHeading3"/>
    <w:uiPriority w:val="99"/>
    <w:rsid w:val="002F6C08"/>
    <w:pPr>
      <w:ind w:left="833" w:hanging="357"/>
      <w:outlineLvl w:val="3"/>
    </w:pPr>
    <w:rPr>
      <w:b/>
      <w:i w:val="0"/>
      <w:sz w:val="20"/>
    </w:rPr>
  </w:style>
  <w:style w:type="paragraph" w:customStyle="1" w:styleId="OpiHi">
    <w:name w:val="Opi_H_i"/>
    <w:basedOn w:val="ECHRHeading4"/>
    <w:uiPriority w:val="99"/>
    <w:rsid w:val="002F6C08"/>
    <w:pPr>
      <w:ind w:left="1037" w:hanging="357"/>
      <w:outlineLvl w:val="4"/>
    </w:pPr>
    <w:rPr>
      <w:b w:val="0"/>
      <w:i/>
    </w:rPr>
  </w:style>
  <w:style w:type="paragraph" w:customStyle="1" w:styleId="DummyStyle">
    <w:name w:val="Dummy_Style"/>
    <w:basedOn w:val="Normal"/>
    <w:uiPriority w:val="99"/>
    <w:semiHidden/>
    <w:rsid w:val="002F6C08"/>
    <w:rPr>
      <w:color w:val="00B050"/>
    </w:rPr>
  </w:style>
  <w:style w:type="numbering" w:styleId="1ai">
    <w:name w:val="Outline List 1"/>
    <w:basedOn w:val="NoList"/>
    <w:uiPriority w:val="99"/>
    <w:semiHidden/>
    <w:unhideWhenUsed/>
    <w:rsid w:val="005B0BBB"/>
    <w:pPr>
      <w:numPr>
        <w:numId w:val="23"/>
      </w:numPr>
    </w:pPr>
  </w:style>
  <w:style w:type="numbering" w:styleId="111111">
    <w:name w:val="Outline List 2"/>
    <w:basedOn w:val="NoList"/>
    <w:uiPriority w:val="99"/>
    <w:semiHidden/>
    <w:unhideWhenUsed/>
    <w:rsid w:val="005B0BBB"/>
    <w:pPr>
      <w:numPr>
        <w:numId w:val="22"/>
      </w:numPr>
    </w:pPr>
  </w:style>
  <w:style w:type="numbering" w:styleId="ArticleSection">
    <w:name w:val="Outline List 3"/>
    <w:basedOn w:val="NoList"/>
    <w:uiPriority w:val="99"/>
    <w:semiHidden/>
    <w:unhideWhenUsed/>
    <w:rsid w:val="005B0BBB"/>
    <w:pPr>
      <w:numPr>
        <w:numId w:val="24"/>
      </w:numPr>
    </w:pPr>
  </w:style>
</w:styles>
</file>

<file path=word/webSettings.xml><?xml version="1.0" encoding="utf-8"?>
<w:webSettings xmlns:r="http://schemas.openxmlformats.org/officeDocument/2006/relationships" xmlns:w="http://schemas.openxmlformats.org/wordprocessingml/2006/main">
  <w:divs>
    <w:div w:id="1402212487">
      <w:marLeft w:val="0"/>
      <w:marRight w:val="0"/>
      <w:marTop w:val="0"/>
      <w:marBottom w:val="0"/>
      <w:divBdr>
        <w:top w:val="none" w:sz="0" w:space="0" w:color="auto"/>
        <w:left w:val="none" w:sz="0" w:space="0" w:color="auto"/>
        <w:bottom w:val="none" w:sz="0" w:space="0" w:color="auto"/>
        <w:right w:val="none" w:sz="0" w:space="0" w:color="auto"/>
      </w:divBdr>
      <w:divsChild>
        <w:div w:id="1402212490">
          <w:marLeft w:val="0"/>
          <w:marRight w:val="0"/>
          <w:marTop w:val="0"/>
          <w:marBottom w:val="0"/>
          <w:divBdr>
            <w:top w:val="none" w:sz="0" w:space="0" w:color="auto"/>
            <w:left w:val="none" w:sz="0" w:space="0" w:color="auto"/>
            <w:bottom w:val="none" w:sz="0" w:space="0" w:color="auto"/>
            <w:right w:val="none" w:sz="0" w:space="0" w:color="auto"/>
          </w:divBdr>
          <w:divsChild>
            <w:div w:id="1402212491">
              <w:marLeft w:val="0"/>
              <w:marRight w:val="0"/>
              <w:marTop w:val="0"/>
              <w:marBottom w:val="0"/>
              <w:divBdr>
                <w:top w:val="none" w:sz="0" w:space="0" w:color="auto"/>
                <w:left w:val="none" w:sz="0" w:space="0" w:color="auto"/>
                <w:bottom w:val="none" w:sz="0" w:space="0" w:color="auto"/>
                <w:right w:val="none" w:sz="0" w:space="0" w:color="auto"/>
              </w:divBdr>
              <w:divsChild>
                <w:div w:id="1402212493">
                  <w:marLeft w:val="0"/>
                  <w:marRight w:val="0"/>
                  <w:marTop w:val="0"/>
                  <w:marBottom w:val="0"/>
                  <w:divBdr>
                    <w:top w:val="none" w:sz="0" w:space="0" w:color="auto"/>
                    <w:left w:val="none" w:sz="0" w:space="0" w:color="auto"/>
                    <w:bottom w:val="none" w:sz="0" w:space="0" w:color="auto"/>
                    <w:right w:val="none" w:sz="0" w:space="0" w:color="auto"/>
                  </w:divBdr>
                  <w:divsChild>
                    <w:div w:id="14022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2489">
      <w:marLeft w:val="0"/>
      <w:marRight w:val="0"/>
      <w:marTop w:val="0"/>
      <w:marBottom w:val="0"/>
      <w:divBdr>
        <w:top w:val="none" w:sz="0" w:space="0" w:color="auto"/>
        <w:left w:val="none" w:sz="0" w:space="0" w:color="auto"/>
        <w:bottom w:val="none" w:sz="0" w:space="0" w:color="auto"/>
        <w:right w:val="none" w:sz="0" w:space="0" w:color="auto"/>
      </w:divBdr>
    </w:div>
    <w:div w:id="1402212492">
      <w:marLeft w:val="0"/>
      <w:marRight w:val="0"/>
      <w:marTop w:val="0"/>
      <w:marBottom w:val="0"/>
      <w:divBdr>
        <w:top w:val="none" w:sz="0" w:space="0" w:color="auto"/>
        <w:left w:val="none" w:sz="0" w:space="0" w:color="auto"/>
        <w:bottom w:val="none" w:sz="0" w:space="0" w:color="auto"/>
        <w:right w:val="none" w:sz="0" w:space="0" w:color="auto"/>
      </w:divBdr>
    </w:div>
    <w:div w:id="1402212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10630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2015-07-17T09:12:00Z</cp:lastPrinted>
  <dcterms:created xsi:type="dcterms:W3CDTF">2015-09-22T08:08:00Z</dcterms:created>
  <dcterms:modified xsi:type="dcterms:W3CDTF">2015-09-22T08:08:00Z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